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D4D" w:rsidRPr="00F52326" w:rsidRDefault="00E83D4D" w:rsidP="00536CD5">
      <w:pPr>
        <w:framePr w:w="6841" w:h="898" w:hSpace="180" w:wrap="around" w:vAnchor="text" w:hAnchor="page" w:x="3601" w:y="-356"/>
        <w:autoSpaceDE w:val="0"/>
        <w:autoSpaceDN w:val="0"/>
        <w:adjustRightInd w:val="0"/>
        <w:spacing w:after="0" w:line="240" w:lineRule="auto"/>
        <w:ind w:right="-900"/>
        <w:rPr>
          <w:rFonts w:ascii="Times New Roman" w:hAnsi="Times New Roman" w:cs="Times New Roman"/>
          <w:b/>
          <w:bCs/>
          <w:caps/>
          <w:color w:val="000000"/>
          <w:sz w:val="28"/>
          <w:szCs w:val="28"/>
        </w:rPr>
      </w:pPr>
      <w:bookmarkStart w:id="0" w:name="_GoBack"/>
      <w:bookmarkEnd w:id="0"/>
      <w:r w:rsidRPr="00F52326">
        <w:rPr>
          <w:rFonts w:ascii="Times New Roman" w:hAnsi="Times New Roman" w:cs="Times New Roman"/>
          <w:b/>
          <w:bCs/>
          <w:caps/>
          <w:color w:val="000000"/>
          <w:sz w:val="28"/>
          <w:szCs w:val="28"/>
        </w:rPr>
        <w:t>Project Identification Form (PIF)</w:t>
      </w:r>
      <w:r w:rsidRPr="00F52326">
        <w:rPr>
          <w:rStyle w:val="FootnoteReference"/>
          <w:rFonts w:ascii="Times New Roman" w:hAnsi="Times New Roman"/>
          <w:b/>
          <w:bCs/>
          <w:caps/>
          <w:color w:val="000000"/>
          <w:sz w:val="28"/>
          <w:szCs w:val="28"/>
        </w:rPr>
        <w:t xml:space="preserve"> </w:t>
      </w:r>
    </w:p>
    <w:p w:rsidR="00E83D4D" w:rsidRPr="00F52326" w:rsidRDefault="00E83D4D" w:rsidP="00536CD5">
      <w:pPr>
        <w:framePr w:w="6841" w:h="898" w:hSpace="180" w:wrap="around" w:vAnchor="text" w:hAnchor="page" w:x="3601" w:y="-356"/>
        <w:autoSpaceDE w:val="0"/>
        <w:autoSpaceDN w:val="0"/>
        <w:adjustRightInd w:val="0"/>
        <w:spacing w:after="0" w:line="240" w:lineRule="auto"/>
        <w:rPr>
          <w:rFonts w:ascii="Times New Roman" w:hAnsi="Times New Roman" w:cs="Times New Roman"/>
          <w:b/>
          <w:bCs/>
          <w:color w:val="000000"/>
        </w:rPr>
      </w:pPr>
      <w:bookmarkStart w:id="1" w:name="Dropdown7"/>
      <w:r w:rsidRPr="00F52326">
        <w:rPr>
          <w:rFonts w:ascii="Times New Roman" w:hAnsi="Times New Roman" w:cs="Times New Roman"/>
          <w:b/>
          <w:bCs/>
          <w:smallCaps/>
          <w:color w:val="000000"/>
        </w:rPr>
        <w:t xml:space="preserve">Project Type: </w:t>
      </w:r>
      <w:bookmarkEnd w:id="1"/>
      <w:r w:rsidRPr="00F52326">
        <w:rPr>
          <w:rFonts w:ascii="Times New Roman" w:hAnsi="Times New Roman" w:cs="Times New Roman"/>
          <w:bCs/>
          <w:color w:val="000000"/>
        </w:rPr>
        <w:t>Full-sized Project</w:t>
      </w:r>
      <w:r w:rsidRPr="00F52326">
        <w:rPr>
          <w:rFonts w:ascii="Times New Roman" w:hAnsi="Times New Roman" w:cs="Times New Roman"/>
          <w:b/>
          <w:bCs/>
          <w:smallCaps/>
          <w:color w:val="000000"/>
        </w:rPr>
        <w:t xml:space="preserve"> </w:t>
      </w:r>
    </w:p>
    <w:p w:rsidR="00E83D4D" w:rsidRPr="00F52326" w:rsidRDefault="00E83D4D" w:rsidP="00536CD5">
      <w:pPr>
        <w:framePr w:w="6841" w:h="898" w:hSpace="180" w:wrap="around" w:vAnchor="text" w:hAnchor="page" w:x="3601" w:y="-356"/>
        <w:autoSpaceDE w:val="0"/>
        <w:autoSpaceDN w:val="0"/>
        <w:adjustRightInd w:val="0"/>
        <w:spacing w:after="0" w:line="240" w:lineRule="auto"/>
        <w:rPr>
          <w:rStyle w:val="Heading5Char"/>
        </w:rPr>
      </w:pPr>
      <w:r w:rsidRPr="00F52326">
        <w:rPr>
          <w:rFonts w:ascii="Times New Roman" w:hAnsi="Times New Roman" w:cs="Times New Roman"/>
          <w:b/>
          <w:bCs/>
          <w:smallCaps/>
          <w:color w:val="000000"/>
        </w:rPr>
        <w:t>Type of Trust Fund</w:t>
      </w:r>
      <w:r w:rsidRPr="00F52326">
        <w:rPr>
          <w:rStyle w:val="Heading5Char"/>
          <w:b/>
        </w:rPr>
        <w:t>:</w:t>
      </w:r>
      <w:r w:rsidRPr="00F52326">
        <w:rPr>
          <w:rStyle w:val="Heading5Char"/>
        </w:rPr>
        <w:t xml:space="preserve"> GEF Trust Fund</w:t>
      </w:r>
    </w:p>
    <w:p w:rsidR="00E83D4D" w:rsidRDefault="0056417B" w:rsidP="0059171B">
      <w:pPr>
        <w:pStyle w:val="Footer"/>
        <w:tabs>
          <w:tab w:val="clear" w:pos="4320"/>
          <w:tab w:val="clear" w:pos="8640"/>
        </w:tabs>
        <w:rPr>
          <w:noProof/>
          <w:sz w:val="20"/>
          <w:szCs w:val="20"/>
        </w:rPr>
      </w:pPr>
      <w:r>
        <w:rPr>
          <w:noProof/>
        </w:rPr>
        <w:drawing>
          <wp:anchor distT="0" distB="0" distL="114300" distR="114300" simplePos="0" relativeHeight="251658240" behindDoc="0" locked="0" layoutInCell="1" allowOverlap="1">
            <wp:simplePos x="0" y="0"/>
            <wp:positionH relativeFrom="column">
              <wp:posOffset>476250</wp:posOffset>
            </wp:positionH>
            <wp:positionV relativeFrom="paragraph">
              <wp:posOffset>-206375</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723900" cy="741680"/>
                    </a:xfrm>
                    <a:prstGeom prst="rect">
                      <a:avLst/>
                    </a:prstGeom>
                    <a:noFill/>
                  </pic:spPr>
                </pic:pic>
              </a:graphicData>
            </a:graphic>
          </wp:anchor>
        </w:drawing>
      </w:r>
      <w:r w:rsidR="00E83D4D">
        <w:rPr>
          <w:noProof/>
          <w:sz w:val="20"/>
          <w:szCs w:val="20"/>
        </w:rPr>
        <w:t xml:space="preserve">           </w:t>
      </w:r>
    </w:p>
    <w:p w:rsidR="00E83D4D" w:rsidRDefault="00E83D4D" w:rsidP="0059171B">
      <w:pPr>
        <w:pStyle w:val="Footer"/>
        <w:tabs>
          <w:tab w:val="clear" w:pos="4320"/>
          <w:tab w:val="clear" w:pos="8640"/>
        </w:tabs>
        <w:rPr>
          <w:noProof/>
          <w:sz w:val="20"/>
          <w:szCs w:val="20"/>
        </w:rPr>
      </w:pPr>
    </w:p>
    <w:p w:rsidR="00E83D4D" w:rsidRDefault="00E83D4D" w:rsidP="0059171B">
      <w:pPr>
        <w:pStyle w:val="Footer"/>
        <w:tabs>
          <w:tab w:val="clear" w:pos="4320"/>
          <w:tab w:val="clear" w:pos="8640"/>
        </w:tabs>
        <w:rPr>
          <w:noProof/>
          <w:sz w:val="20"/>
          <w:szCs w:val="20"/>
        </w:rPr>
      </w:pPr>
    </w:p>
    <w:p w:rsidR="00E83D4D" w:rsidRDefault="00E83D4D" w:rsidP="00CE6C55">
      <w:pPr>
        <w:pStyle w:val="Footer"/>
        <w:tabs>
          <w:tab w:val="clear" w:pos="4320"/>
          <w:tab w:val="clear" w:pos="8640"/>
        </w:tabs>
        <w:ind w:left="2160" w:firstLine="720"/>
        <w:rPr>
          <w:b/>
          <w:caps/>
          <w:sz w:val="22"/>
          <w:szCs w:val="22"/>
          <w:u w:val="single"/>
        </w:rPr>
      </w:pPr>
      <w:r>
        <w:rPr>
          <w:noProof/>
          <w:sz w:val="20"/>
          <w:szCs w:val="20"/>
        </w:rPr>
        <w:t xml:space="preserve">For more information about GEF, visit </w:t>
      </w:r>
      <w:hyperlink r:id="rId10" w:history="1">
        <w:r w:rsidRPr="00571D3A">
          <w:rPr>
            <w:rStyle w:val="Hyperlink"/>
            <w:noProof/>
            <w:sz w:val="20"/>
            <w:szCs w:val="20"/>
          </w:rPr>
          <w:t>TheGEF.org</w:t>
        </w:r>
      </w:hyperlink>
    </w:p>
    <w:p w:rsidR="00E83D4D" w:rsidRPr="00661A08" w:rsidRDefault="00E83D4D" w:rsidP="00BF3993">
      <w:pPr>
        <w:pStyle w:val="Footer"/>
        <w:tabs>
          <w:tab w:val="clear" w:pos="4320"/>
          <w:tab w:val="clear" w:pos="8640"/>
        </w:tabs>
        <w:rPr>
          <w:b/>
          <w:caps/>
          <w:color w:val="00B0F0"/>
          <w:sz w:val="22"/>
          <w:szCs w:val="22"/>
          <w:u w:val="single"/>
        </w:rPr>
      </w:pPr>
      <w:r w:rsidRPr="00661A08">
        <w:rPr>
          <w:b/>
          <w:caps/>
          <w:color w:val="00B0F0"/>
          <w:sz w:val="22"/>
          <w:szCs w:val="22"/>
          <w:u w:val="single"/>
        </w:rPr>
        <w:t>PART I: Project I</w:t>
      </w:r>
      <w:r>
        <w:rPr>
          <w:b/>
          <w:caps/>
          <w:color w:val="00B0F0"/>
          <w:sz w:val="22"/>
          <w:szCs w:val="22"/>
          <w:u w:val="single"/>
        </w:rPr>
        <w:t>nformation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A0" w:firstRow="1" w:lastRow="0" w:firstColumn="1" w:lastColumn="0" w:noHBand="0" w:noVBand="0"/>
      </w:tblPr>
      <w:tblGrid>
        <w:gridCol w:w="3134"/>
        <w:gridCol w:w="3204"/>
        <w:gridCol w:w="2910"/>
        <w:gridCol w:w="2041"/>
      </w:tblGrid>
      <w:tr w:rsidR="00E83D4D" w:rsidRPr="004A7299" w:rsidTr="00BF3993">
        <w:tc>
          <w:tcPr>
            <w:tcW w:w="1388"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Project Title:</w:t>
            </w:r>
          </w:p>
        </w:tc>
        <w:tc>
          <w:tcPr>
            <w:tcW w:w="3612" w:type="pct"/>
            <w:gridSpan w:val="3"/>
          </w:tcPr>
          <w:p w:rsidR="00E83D4D" w:rsidRPr="004A7299" w:rsidRDefault="00E83D4D" w:rsidP="00BF3993">
            <w:pPr>
              <w:spacing w:after="0" w:line="240" w:lineRule="auto"/>
              <w:rPr>
                <w:rFonts w:ascii="Times New Roman" w:hAnsi="Times New Roman" w:cs="Times New Roman"/>
                <w:color w:val="auto"/>
                <w:sz w:val="20"/>
                <w:szCs w:val="20"/>
              </w:rPr>
            </w:pPr>
            <w:r w:rsidRPr="004A7299">
              <w:rPr>
                <w:rFonts w:ascii="Times New Roman" w:hAnsi="Times New Roman" w:cs="Times New Roman"/>
                <w:color w:val="auto"/>
                <w:sz w:val="20"/>
                <w:szCs w:val="20"/>
              </w:rPr>
              <w:t xml:space="preserve">Mainstreaming Sustainable Land and Forest Management in </w:t>
            </w:r>
            <w:smartTag w:uri="urn:schemas-microsoft-com:office:smarttags" w:element="PlaceName">
              <w:r w:rsidRPr="004A7299">
                <w:rPr>
                  <w:rFonts w:ascii="Times New Roman" w:hAnsi="Times New Roman" w:cs="Times New Roman"/>
                  <w:color w:val="auto"/>
                  <w:sz w:val="20"/>
                  <w:szCs w:val="20"/>
                </w:rPr>
                <w:t>Dry</w:t>
              </w:r>
            </w:smartTag>
            <w:r w:rsidRPr="004A7299">
              <w:rPr>
                <w:rFonts w:ascii="Times New Roman" w:hAnsi="Times New Roman" w:cs="Times New Roman"/>
                <w:color w:val="auto"/>
                <w:sz w:val="20"/>
                <w:szCs w:val="20"/>
              </w:rPr>
              <w:t xml:space="preserve"> </w:t>
            </w:r>
            <w:smartTag w:uri="urn:schemas-microsoft-com:office:smarttags" w:element="PlaceType">
              <w:r w:rsidRPr="004A7299">
                <w:rPr>
                  <w:rFonts w:ascii="Times New Roman" w:hAnsi="Times New Roman" w:cs="Times New Roman"/>
                  <w:color w:val="auto"/>
                  <w:sz w:val="20"/>
                  <w:szCs w:val="20"/>
                </w:rPr>
                <w:t>Mountain</w:t>
              </w:r>
            </w:smartTag>
            <w:r w:rsidRPr="004A7299">
              <w:rPr>
                <w:rFonts w:ascii="Times New Roman" w:hAnsi="Times New Roman" w:cs="Times New Roman"/>
                <w:color w:val="auto"/>
                <w:sz w:val="20"/>
                <w:szCs w:val="20"/>
              </w:rPr>
              <w:t xml:space="preserve"> Landscapes of </w:t>
            </w:r>
            <w:smartTag w:uri="urn:schemas-microsoft-com:office:smarttags" w:element="place">
              <w:r w:rsidRPr="004A7299">
                <w:rPr>
                  <w:rFonts w:ascii="Times New Roman" w:hAnsi="Times New Roman" w:cs="Times New Roman"/>
                  <w:color w:val="auto"/>
                  <w:sz w:val="20"/>
                  <w:szCs w:val="20"/>
                </w:rPr>
                <w:t>Northeastern Armenia</w:t>
              </w:r>
            </w:smartTag>
          </w:p>
        </w:tc>
      </w:tr>
      <w:tr w:rsidR="00E83D4D" w:rsidRPr="004A7299" w:rsidTr="00BF3993">
        <w:trPr>
          <w:trHeight w:hRule="exact" w:val="259"/>
        </w:trPr>
        <w:tc>
          <w:tcPr>
            <w:tcW w:w="1388"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Country(ies):</w:t>
            </w:r>
          </w:p>
        </w:tc>
        <w:tc>
          <w:tcPr>
            <w:tcW w:w="1419" w:type="pct"/>
          </w:tcPr>
          <w:p w:rsidR="00E83D4D" w:rsidRPr="004A7299" w:rsidRDefault="00E83D4D" w:rsidP="00BF3993">
            <w:pPr>
              <w:rPr>
                <w:rFonts w:ascii="Times New Roman" w:hAnsi="Times New Roman" w:cs="Times New Roman"/>
                <w:color w:val="auto"/>
                <w:sz w:val="20"/>
                <w:szCs w:val="20"/>
              </w:rPr>
            </w:pPr>
            <w:smartTag w:uri="urn:schemas-microsoft-com:office:smarttags" w:element="place">
              <w:smartTag w:uri="urn:schemas-microsoft-com:office:smarttags" w:element="country-region">
                <w:r w:rsidRPr="004A7299">
                  <w:rPr>
                    <w:rFonts w:ascii="Times New Roman" w:hAnsi="Times New Roman" w:cs="Times New Roman"/>
                    <w:color w:val="auto"/>
                    <w:sz w:val="20"/>
                    <w:szCs w:val="20"/>
                  </w:rPr>
                  <w:t>Armenia</w:t>
                </w:r>
              </w:smartTag>
            </w:smartTag>
          </w:p>
        </w:tc>
        <w:tc>
          <w:tcPr>
            <w:tcW w:w="1289"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 Project ID:</w:t>
            </w:r>
          </w:p>
        </w:tc>
        <w:tc>
          <w:tcPr>
            <w:tcW w:w="903" w:type="pct"/>
          </w:tcPr>
          <w:p w:rsidR="00E83D4D" w:rsidRPr="004A7299" w:rsidRDefault="002F48F9" w:rsidP="00BF3993">
            <w:pPr>
              <w:rPr>
                <w:rFonts w:ascii="Times New Roman" w:hAnsi="Times New Roman" w:cs="Times New Roman"/>
                <w:color w:val="auto"/>
                <w:sz w:val="20"/>
                <w:szCs w:val="20"/>
              </w:rPr>
            </w:pPr>
            <w:r>
              <w:rPr>
                <w:rFonts w:ascii="Times New Roman" w:hAnsi="Times New Roman" w:cs="Times New Roman"/>
                <w:color w:val="auto"/>
                <w:sz w:val="20"/>
                <w:szCs w:val="20"/>
              </w:rPr>
              <w:t>5353</w:t>
            </w:r>
          </w:p>
        </w:tc>
      </w:tr>
      <w:tr w:rsidR="00E83D4D" w:rsidRPr="004A7299" w:rsidTr="00BF3993">
        <w:trPr>
          <w:trHeight w:hRule="exact" w:val="259"/>
        </w:trPr>
        <w:tc>
          <w:tcPr>
            <w:tcW w:w="1388"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 Agency(ies):</w:t>
            </w:r>
          </w:p>
        </w:tc>
        <w:tc>
          <w:tcPr>
            <w:tcW w:w="1419"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UNDP</w:t>
            </w:r>
          </w:p>
        </w:tc>
        <w:tc>
          <w:tcPr>
            <w:tcW w:w="1289"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 Agency Project ID:</w:t>
            </w:r>
          </w:p>
        </w:tc>
        <w:tc>
          <w:tcPr>
            <w:tcW w:w="903"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4416</w:t>
            </w:r>
          </w:p>
        </w:tc>
      </w:tr>
      <w:tr w:rsidR="00E83D4D" w:rsidRPr="004A7299" w:rsidTr="00BF3993">
        <w:tc>
          <w:tcPr>
            <w:tcW w:w="1388"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Other Executing Partner(s):</w:t>
            </w:r>
          </w:p>
        </w:tc>
        <w:tc>
          <w:tcPr>
            <w:tcW w:w="1419" w:type="pct"/>
          </w:tcPr>
          <w:p w:rsidR="00E83D4D" w:rsidRPr="004A7299" w:rsidRDefault="00E83D4D" w:rsidP="00BF3993">
            <w:pPr>
              <w:spacing w:after="0" w:line="240" w:lineRule="auto"/>
              <w:rPr>
                <w:sz w:val="20"/>
                <w:szCs w:val="20"/>
              </w:rPr>
            </w:pPr>
            <w:r w:rsidRPr="004A7299">
              <w:rPr>
                <w:rFonts w:ascii="Times New Roman" w:hAnsi="Times New Roman" w:cs="Times New Roman"/>
                <w:color w:val="auto"/>
                <w:sz w:val="20"/>
                <w:szCs w:val="20"/>
              </w:rPr>
              <w:t>Ministry of Nature Protection, Ministry of Agriculture</w:t>
            </w:r>
          </w:p>
        </w:tc>
        <w:tc>
          <w:tcPr>
            <w:tcW w:w="1289"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Submission Date:</w:t>
            </w:r>
          </w:p>
        </w:tc>
        <w:tc>
          <w:tcPr>
            <w:tcW w:w="903" w:type="pct"/>
          </w:tcPr>
          <w:p w:rsidR="00E83D4D" w:rsidRPr="004A7299" w:rsidRDefault="002F48F9" w:rsidP="00BF3993">
            <w:pPr>
              <w:rPr>
                <w:rFonts w:ascii="Times New Roman" w:hAnsi="Times New Roman" w:cs="Times New Roman"/>
                <w:color w:val="auto"/>
                <w:sz w:val="20"/>
                <w:szCs w:val="20"/>
              </w:rPr>
            </w:pPr>
            <w:r>
              <w:rPr>
                <w:rFonts w:ascii="Times New Roman" w:hAnsi="Times New Roman" w:cs="Times New Roman"/>
                <w:color w:val="auto"/>
                <w:sz w:val="20"/>
                <w:szCs w:val="20"/>
              </w:rPr>
              <w:t>April 11, 2013</w:t>
            </w:r>
          </w:p>
        </w:tc>
      </w:tr>
      <w:tr w:rsidR="00E83D4D" w:rsidRPr="004A7299" w:rsidTr="00BF3993">
        <w:trPr>
          <w:trHeight w:hRule="exact" w:val="259"/>
        </w:trPr>
        <w:tc>
          <w:tcPr>
            <w:tcW w:w="1388"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 Focal Area (s):</w:t>
            </w:r>
          </w:p>
        </w:tc>
        <w:tc>
          <w:tcPr>
            <w:tcW w:w="1419"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Multi-focal areas</w:t>
            </w:r>
          </w:p>
        </w:tc>
        <w:tc>
          <w:tcPr>
            <w:tcW w:w="1289"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Project Duration (Months)</w:t>
            </w:r>
          </w:p>
        </w:tc>
        <w:tc>
          <w:tcPr>
            <w:tcW w:w="903"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48 months</w:t>
            </w:r>
          </w:p>
        </w:tc>
      </w:tr>
      <w:tr w:rsidR="00E83D4D" w:rsidRPr="004A7299" w:rsidTr="00BF3993">
        <w:tc>
          <w:tcPr>
            <w:tcW w:w="1388" w:type="pct"/>
          </w:tcPr>
          <w:p w:rsidR="00E83D4D" w:rsidRPr="004A7299" w:rsidRDefault="00E83D4D" w:rsidP="00BF3993">
            <w:pPr>
              <w:spacing w:after="0"/>
              <w:rPr>
                <w:rFonts w:ascii="Times New Roman" w:hAnsi="Times New Roman" w:cs="Times New Roman"/>
                <w:color w:val="auto"/>
                <w:sz w:val="20"/>
                <w:szCs w:val="20"/>
              </w:rPr>
            </w:pPr>
            <w:r w:rsidRPr="004A7299">
              <w:rPr>
                <w:rFonts w:ascii="Times New Roman" w:hAnsi="Times New Roman" w:cs="Times New Roman"/>
                <w:color w:val="auto"/>
                <w:sz w:val="20"/>
                <w:szCs w:val="20"/>
              </w:rPr>
              <w:t>Name of parent program (if applicable):</w:t>
            </w:r>
          </w:p>
          <w:p w:rsidR="00E83D4D" w:rsidRPr="004A7299" w:rsidRDefault="00E83D4D" w:rsidP="00BF3993">
            <w:pPr>
              <w:numPr>
                <w:ilvl w:val="0"/>
                <w:numId w:val="17"/>
              </w:numPr>
              <w:spacing w:after="0" w:line="240" w:lineRule="auto"/>
              <w:ind w:left="270" w:hanging="270"/>
              <w:rPr>
                <w:rFonts w:ascii="Times New Roman" w:hAnsi="Times New Roman" w:cs="Times New Roman"/>
                <w:color w:val="auto"/>
                <w:sz w:val="20"/>
                <w:szCs w:val="20"/>
              </w:rPr>
            </w:pPr>
            <w:r w:rsidRPr="004A7299">
              <w:rPr>
                <w:rFonts w:ascii="Times New Roman" w:hAnsi="Times New Roman" w:cs="Times New Roman"/>
                <w:color w:val="auto"/>
                <w:sz w:val="20"/>
                <w:szCs w:val="20"/>
              </w:rPr>
              <w:t xml:space="preserve">For SFM/REDD+ </w:t>
            </w:r>
            <w:bookmarkStart w:id="2" w:name="CheckSFM"/>
            <w:r w:rsidR="00D81B60" w:rsidRPr="004A7299">
              <w:rPr>
                <w:rFonts w:ascii="Times New Roman" w:hAnsi="Times New Roman" w:cs="Times New Roman"/>
                <w:color w:val="auto"/>
                <w:sz w:val="20"/>
                <w:szCs w:val="20"/>
              </w:rPr>
              <w:fldChar w:fldCharType="begin">
                <w:ffData>
                  <w:name w:val="CheckSFM"/>
                  <w:enabled/>
                  <w:calcOnExit w:val="0"/>
                  <w:checkBox>
                    <w:sizeAuto/>
                    <w:default w:val="1"/>
                  </w:checkBox>
                </w:ffData>
              </w:fldChar>
            </w:r>
            <w:r w:rsidRPr="004A7299">
              <w:rPr>
                <w:rFonts w:ascii="Times New Roman" w:hAnsi="Times New Roman" w:cs="Times New Roman"/>
                <w:color w:val="auto"/>
                <w:sz w:val="20"/>
                <w:szCs w:val="20"/>
              </w:rPr>
              <w:instrText xml:space="preserve"> FORMCHECKBOX </w:instrText>
            </w:r>
            <w:r w:rsidR="00D81B60" w:rsidRPr="004A7299">
              <w:rPr>
                <w:rFonts w:ascii="Times New Roman" w:hAnsi="Times New Roman" w:cs="Times New Roman"/>
                <w:color w:val="auto"/>
                <w:sz w:val="20"/>
                <w:szCs w:val="20"/>
              </w:rPr>
            </w:r>
            <w:r w:rsidR="00D81B60" w:rsidRPr="004A7299">
              <w:rPr>
                <w:rFonts w:ascii="Times New Roman" w:hAnsi="Times New Roman" w:cs="Times New Roman"/>
                <w:color w:val="auto"/>
                <w:sz w:val="20"/>
                <w:szCs w:val="20"/>
              </w:rPr>
              <w:fldChar w:fldCharType="end"/>
            </w:r>
            <w:bookmarkEnd w:id="2"/>
          </w:p>
          <w:p w:rsidR="00E83D4D" w:rsidRPr="004A7299" w:rsidRDefault="00E83D4D" w:rsidP="00BF3993">
            <w:pPr>
              <w:numPr>
                <w:ilvl w:val="0"/>
                <w:numId w:val="17"/>
              </w:numPr>
              <w:spacing w:after="0" w:line="240" w:lineRule="auto"/>
              <w:ind w:left="270" w:hanging="270"/>
              <w:rPr>
                <w:rFonts w:ascii="Times New Roman" w:hAnsi="Times New Roman" w:cs="Times New Roman"/>
                <w:color w:val="auto"/>
                <w:sz w:val="20"/>
                <w:szCs w:val="20"/>
              </w:rPr>
            </w:pPr>
            <w:r w:rsidRPr="004A7299">
              <w:rPr>
                <w:rFonts w:ascii="Times New Roman" w:hAnsi="Times New Roman" w:cs="Times New Roman"/>
                <w:color w:val="auto"/>
                <w:sz w:val="20"/>
                <w:szCs w:val="20"/>
              </w:rPr>
              <w:t xml:space="preserve">For SGP                </w:t>
            </w:r>
            <w:bookmarkStart w:id="3" w:name="CheckSGP"/>
            <w:r w:rsidR="00D81B60" w:rsidRPr="004A7299">
              <w:rPr>
                <w:rFonts w:ascii="Times New Roman" w:hAnsi="Times New Roman" w:cs="Times New Roman"/>
                <w:color w:val="auto"/>
                <w:sz w:val="20"/>
                <w:szCs w:val="20"/>
              </w:rPr>
              <w:fldChar w:fldCharType="begin">
                <w:ffData>
                  <w:name w:val="CheckSGP"/>
                  <w:enabled/>
                  <w:calcOnExit w:val="0"/>
                  <w:checkBox>
                    <w:sizeAuto/>
                    <w:default w:val="0"/>
                  </w:checkBox>
                </w:ffData>
              </w:fldChar>
            </w:r>
            <w:r w:rsidRPr="004A7299">
              <w:rPr>
                <w:rFonts w:ascii="Times New Roman" w:hAnsi="Times New Roman" w:cs="Times New Roman"/>
                <w:color w:val="auto"/>
                <w:sz w:val="20"/>
                <w:szCs w:val="20"/>
              </w:rPr>
              <w:instrText xml:space="preserve"> FORMCHECKBOX </w:instrText>
            </w:r>
            <w:r w:rsidR="00D81B60" w:rsidRPr="004A7299">
              <w:rPr>
                <w:rFonts w:ascii="Times New Roman" w:hAnsi="Times New Roman" w:cs="Times New Roman"/>
                <w:color w:val="auto"/>
                <w:sz w:val="20"/>
                <w:szCs w:val="20"/>
              </w:rPr>
            </w:r>
            <w:r w:rsidR="00D81B60" w:rsidRPr="004A7299">
              <w:rPr>
                <w:rFonts w:ascii="Times New Roman" w:hAnsi="Times New Roman" w:cs="Times New Roman"/>
                <w:color w:val="auto"/>
                <w:sz w:val="20"/>
                <w:szCs w:val="20"/>
              </w:rPr>
              <w:fldChar w:fldCharType="end"/>
            </w:r>
            <w:bookmarkEnd w:id="3"/>
          </w:p>
          <w:p w:rsidR="00E83D4D" w:rsidRPr="004A7299" w:rsidRDefault="00E83D4D" w:rsidP="00BF3993">
            <w:pPr>
              <w:numPr>
                <w:ilvl w:val="0"/>
                <w:numId w:val="17"/>
              </w:numPr>
              <w:spacing w:after="0" w:line="240" w:lineRule="auto"/>
              <w:ind w:left="270" w:hanging="270"/>
              <w:rPr>
                <w:rFonts w:ascii="Times New Roman" w:hAnsi="Times New Roman" w:cs="Times New Roman"/>
                <w:color w:val="auto"/>
                <w:sz w:val="20"/>
                <w:szCs w:val="20"/>
              </w:rPr>
            </w:pPr>
            <w:r w:rsidRPr="004A7299">
              <w:rPr>
                <w:rFonts w:ascii="Times New Roman" w:hAnsi="Times New Roman" w:cs="Times New Roman"/>
                <w:color w:val="auto"/>
                <w:sz w:val="20"/>
                <w:szCs w:val="20"/>
              </w:rPr>
              <w:t xml:space="preserve">For PPP                 </w:t>
            </w:r>
            <w:r w:rsidR="00D81B60" w:rsidRPr="004A7299">
              <w:rPr>
                <w:rFonts w:ascii="Times New Roman" w:hAnsi="Times New Roman" w:cs="Times New Roman"/>
                <w:color w:val="auto"/>
                <w:sz w:val="20"/>
                <w:szCs w:val="20"/>
              </w:rPr>
              <w:fldChar w:fldCharType="begin">
                <w:ffData>
                  <w:name w:val="CheckSGP"/>
                  <w:enabled/>
                  <w:calcOnExit w:val="0"/>
                  <w:checkBox>
                    <w:sizeAuto/>
                    <w:default w:val="0"/>
                  </w:checkBox>
                </w:ffData>
              </w:fldChar>
            </w:r>
            <w:r w:rsidRPr="004A7299">
              <w:rPr>
                <w:rFonts w:ascii="Times New Roman" w:hAnsi="Times New Roman" w:cs="Times New Roman"/>
                <w:color w:val="auto"/>
                <w:sz w:val="20"/>
                <w:szCs w:val="20"/>
              </w:rPr>
              <w:instrText xml:space="preserve"> FORMCHECKBOX </w:instrText>
            </w:r>
            <w:r w:rsidR="00D81B60" w:rsidRPr="004A7299">
              <w:rPr>
                <w:rFonts w:ascii="Times New Roman" w:hAnsi="Times New Roman" w:cs="Times New Roman"/>
                <w:color w:val="auto"/>
                <w:sz w:val="20"/>
                <w:szCs w:val="20"/>
              </w:rPr>
            </w:r>
            <w:r w:rsidR="00D81B60" w:rsidRPr="004A7299">
              <w:rPr>
                <w:rFonts w:ascii="Times New Roman" w:hAnsi="Times New Roman" w:cs="Times New Roman"/>
                <w:color w:val="auto"/>
                <w:sz w:val="20"/>
                <w:szCs w:val="20"/>
              </w:rPr>
              <w:fldChar w:fldCharType="end"/>
            </w:r>
          </w:p>
        </w:tc>
        <w:tc>
          <w:tcPr>
            <w:tcW w:w="1419"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SFM/REDD</w:t>
            </w:r>
          </w:p>
        </w:tc>
        <w:tc>
          <w:tcPr>
            <w:tcW w:w="1289" w:type="pct"/>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Project Agency Fee ($):</w:t>
            </w:r>
          </w:p>
        </w:tc>
        <w:tc>
          <w:tcPr>
            <w:tcW w:w="903" w:type="pct"/>
          </w:tcPr>
          <w:p w:rsidR="00E83D4D" w:rsidRPr="004A7299" w:rsidRDefault="00337C6E" w:rsidP="00337C6E">
            <w:pPr>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E83D4D" w:rsidRPr="004A7299">
              <w:rPr>
                <w:rFonts w:ascii="Times New Roman" w:hAnsi="Times New Roman" w:cs="Times New Roman"/>
                <w:color w:val="auto"/>
                <w:sz w:val="20"/>
                <w:szCs w:val="20"/>
              </w:rPr>
              <w:t>282,831</w:t>
            </w:r>
          </w:p>
        </w:tc>
      </w:tr>
    </w:tbl>
    <w:p w:rsidR="00E83D4D" w:rsidRPr="00536CD5" w:rsidRDefault="00E83D4D" w:rsidP="00BF3993">
      <w:pPr>
        <w:pStyle w:val="Footer"/>
        <w:tabs>
          <w:tab w:val="clear" w:pos="4320"/>
          <w:tab w:val="clear" w:pos="8640"/>
        </w:tabs>
        <w:spacing w:before="120" w:after="80"/>
        <w:rPr>
          <w:b/>
          <w:smallCaps/>
          <w:sz w:val="22"/>
          <w:szCs w:val="22"/>
        </w:rPr>
      </w:pPr>
      <w:r w:rsidRPr="00536CD5">
        <w:rPr>
          <w:b/>
          <w:smallCaps/>
          <w:sz w:val="22"/>
          <w:szCs w:val="22"/>
        </w:rPr>
        <w:t xml:space="preserve">A.  indicative </w:t>
      </w:r>
      <w:hyperlink r:id="rId11" w:history="1">
        <w:r w:rsidRPr="00536CD5">
          <w:rPr>
            <w:rStyle w:val="Hyperlink"/>
            <w:b/>
            <w:smallCaps/>
            <w:color w:val="auto"/>
            <w:sz w:val="22"/>
            <w:szCs w:val="22"/>
          </w:rPr>
          <w:t>Focal AREA STRATEGY Framework</w:t>
        </w:r>
      </w:hyperlink>
      <w:r w:rsidRPr="00536CD5">
        <w:rPr>
          <w:b/>
          <w:smallCaps/>
          <w:sz w:val="22"/>
          <w:szCs w:val="22"/>
        </w:rPr>
        <w:t>:</w:t>
      </w: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6356"/>
        <w:gridCol w:w="1516"/>
        <w:gridCol w:w="1802"/>
        <w:gridCol w:w="1588"/>
      </w:tblGrid>
      <w:tr w:rsidR="00E83D4D" w:rsidRPr="004A7299" w:rsidTr="00DB5551">
        <w:trPr>
          <w:trHeight w:val="260"/>
          <w:jc w:val="center"/>
        </w:trPr>
        <w:tc>
          <w:tcPr>
            <w:tcW w:w="2822" w:type="pct"/>
            <w:shd w:val="clear" w:color="auto" w:fill="FFFFFF"/>
            <w:vAlign w:val="center"/>
          </w:tcPr>
          <w:p w:rsidR="00E83D4D" w:rsidRPr="00BF0F0F" w:rsidRDefault="00E83D4D" w:rsidP="00BF3993">
            <w:pPr>
              <w:pStyle w:val="Heading3"/>
              <w:ind w:left="72"/>
              <w:jc w:val="center"/>
              <w:rPr>
                <w:b/>
                <w:bCs/>
                <w:iCs/>
                <w:color w:val="000000"/>
                <w:sz w:val="20"/>
                <w:szCs w:val="20"/>
              </w:rPr>
            </w:pPr>
            <w:r w:rsidRPr="00BF0F0F">
              <w:rPr>
                <w:b/>
                <w:bCs/>
                <w:iCs/>
                <w:color w:val="000000"/>
                <w:sz w:val="20"/>
                <w:szCs w:val="20"/>
              </w:rPr>
              <w:t>Focal Area Objectives</w:t>
            </w:r>
          </w:p>
        </w:tc>
        <w:tc>
          <w:tcPr>
            <w:tcW w:w="673" w:type="pct"/>
            <w:shd w:val="clear" w:color="auto" w:fill="FFFFFF"/>
          </w:tcPr>
          <w:p w:rsidR="00E83D4D" w:rsidRPr="00BF0F0F" w:rsidRDefault="00E83D4D" w:rsidP="00BF3993">
            <w:pPr>
              <w:pStyle w:val="Heading3"/>
              <w:jc w:val="center"/>
              <w:rPr>
                <w:b/>
                <w:bCs/>
                <w:iCs/>
                <w:color w:val="000000"/>
                <w:sz w:val="20"/>
                <w:szCs w:val="20"/>
              </w:rPr>
            </w:pPr>
            <w:r w:rsidRPr="00BF0F0F">
              <w:rPr>
                <w:b/>
                <w:bCs/>
                <w:iCs/>
                <w:color w:val="000000"/>
                <w:sz w:val="20"/>
                <w:szCs w:val="20"/>
              </w:rPr>
              <w:t>Trust Fund</w:t>
            </w:r>
          </w:p>
        </w:tc>
        <w:tc>
          <w:tcPr>
            <w:tcW w:w="800" w:type="pct"/>
            <w:shd w:val="clear" w:color="auto" w:fill="FFFFFF"/>
            <w:vAlign w:val="center"/>
          </w:tcPr>
          <w:p w:rsidR="00E83D4D" w:rsidRPr="00BF0F0F" w:rsidRDefault="00E83D4D" w:rsidP="00BF3993">
            <w:pPr>
              <w:pStyle w:val="Heading3"/>
              <w:jc w:val="center"/>
              <w:rPr>
                <w:b/>
                <w:bCs/>
                <w:iCs/>
                <w:color w:val="000000"/>
                <w:sz w:val="20"/>
                <w:szCs w:val="20"/>
              </w:rPr>
            </w:pPr>
            <w:r w:rsidRPr="00BF0F0F">
              <w:rPr>
                <w:b/>
                <w:bCs/>
                <w:iCs/>
                <w:color w:val="000000"/>
                <w:sz w:val="20"/>
                <w:szCs w:val="20"/>
              </w:rPr>
              <w:t xml:space="preserve">Indicative  </w:t>
            </w:r>
          </w:p>
          <w:p w:rsidR="00E83D4D" w:rsidRPr="00BF0F0F" w:rsidRDefault="00E83D4D" w:rsidP="00BF3993">
            <w:pPr>
              <w:pStyle w:val="Heading3"/>
              <w:jc w:val="center"/>
              <w:rPr>
                <w:b/>
                <w:bCs/>
                <w:iCs/>
                <w:color w:val="000000"/>
                <w:sz w:val="20"/>
                <w:szCs w:val="20"/>
              </w:rPr>
            </w:pPr>
            <w:r w:rsidRPr="00BF0F0F">
              <w:rPr>
                <w:b/>
                <w:bCs/>
                <w:iCs/>
                <w:color w:val="000000"/>
                <w:sz w:val="20"/>
                <w:szCs w:val="20"/>
              </w:rPr>
              <w:t>Grant Amount</w:t>
            </w:r>
          </w:p>
          <w:p w:rsidR="00E83D4D" w:rsidRPr="00BF0F0F" w:rsidRDefault="00E83D4D" w:rsidP="00BF3993">
            <w:pPr>
              <w:pStyle w:val="Heading3"/>
              <w:jc w:val="center"/>
              <w:rPr>
                <w:b/>
                <w:bCs/>
                <w:iCs/>
                <w:color w:val="000000"/>
                <w:sz w:val="20"/>
                <w:szCs w:val="20"/>
              </w:rPr>
            </w:pPr>
            <w:r w:rsidRPr="00BF0F0F">
              <w:rPr>
                <w:b/>
                <w:bCs/>
                <w:iCs/>
                <w:color w:val="000000"/>
                <w:sz w:val="20"/>
                <w:szCs w:val="20"/>
              </w:rPr>
              <w:t xml:space="preserve">($) </w:t>
            </w:r>
          </w:p>
        </w:tc>
        <w:tc>
          <w:tcPr>
            <w:tcW w:w="705" w:type="pct"/>
            <w:shd w:val="clear" w:color="auto" w:fill="FFFFFF"/>
            <w:vAlign w:val="center"/>
          </w:tcPr>
          <w:p w:rsidR="00E83D4D" w:rsidRPr="00BF0F0F" w:rsidRDefault="00E83D4D" w:rsidP="00BF3993">
            <w:pPr>
              <w:pStyle w:val="Heading3"/>
              <w:jc w:val="center"/>
              <w:rPr>
                <w:b/>
                <w:bCs/>
                <w:iCs/>
                <w:color w:val="000000"/>
                <w:sz w:val="20"/>
                <w:szCs w:val="20"/>
              </w:rPr>
            </w:pPr>
            <w:r w:rsidRPr="00BF0F0F">
              <w:rPr>
                <w:b/>
                <w:bCs/>
                <w:iCs/>
                <w:color w:val="000000"/>
                <w:sz w:val="20"/>
                <w:szCs w:val="20"/>
              </w:rPr>
              <w:t>Indicative Co-financing</w:t>
            </w:r>
          </w:p>
          <w:p w:rsidR="00E83D4D" w:rsidRPr="00BF0F0F" w:rsidRDefault="00E83D4D" w:rsidP="00BF3993">
            <w:pPr>
              <w:pStyle w:val="Heading3"/>
              <w:jc w:val="center"/>
              <w:rPr>
                <w:b/>
                <w:bCs/>
                <w:iCs/>
                <w:color w:val="000000"/>
                <w:sz w:val="20"/>
                <w:szCs w:val="20"/>
              </w:rPr>
            </w:pPr>
            <w:r w:rsidRPr="00BF0F0F">
              <w:rPr>
                <w:b/>
                <w:bCs/>
                <w:iCs/>
                <w:color w:val="000000"/>
                <w:sz w:val="20"/>
                <w:szCs w:val="20"/>
              </w:rPr>
              <w:t xml:space="preserve">($) </w:t>
            </w:r>
          </w:p>
        </w:tc>
      </w:tr>
      <w:tr w:rsidR="00E83D4D" w:rsidRPr="004A7299" w:rsidTr="00DB5551">
        <w:trPr>
          <w:trHeight w:hRule="exact" w:val="259"/>
          <w:jc w:val="center"/>
        </w:trPr>
        <w:tc>
          <w:tcPr>
            <w:tcW w:w="2822" w:type="pct"/>
            <w:shd w:val="clear" w:color="auto" w:fill="FFFFFF"/>
          </w:tcPr>
          <w:p w:rsidR="00E83D4D" w:rsidRPr="004A7299" w:rsidRDefault="00E83D4D" w:rsidP="00BF3993">
            <w:pPr>
              <w:spacing w:after="0" w:line="240" w:lineRule="auto"/>
              <w:rPr>
                <w:rFonts w:ascii="Times New Roman" w:hAnsi="Times New Roman" w:cs="Times New Roman"/>
                <w:color w:val="auto"/>
                <w:sz w:val="20"/>
                <w:szCs w:val="20"/>
              </w:rPr>
            </w:pPr>
            <w:r w:rsidRPr="004A7299">
              <w:rPr>
                <w:rFonts w:ascii="Times New Roman" w:hAnsi="Times New Roman" w:cs="Times New Roman"/>
                <w:color w:val="auto"/>
                <w:sz w:val="20"/>
                <w:szCs w:val="20"/>
              </w:rPr>
              <w:t>BD-2</w:t>
            </w:r>
          </w:p>
        </w:tc>
        <w:tc>
          <w:tcPr>
            <w:tcW w:w="673" w:type="pct"/>
            <w:shd w:val="clear" w:color="auto" w:fill="FFFFFF"/>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GEFTF</w:t>
            </w:r>
          </w:p>
        </w:tc>
        <w:tc>
          <w:tcPr>
            <w:tcW w:w="800" w:type="pct"/>
            <w:shd w:val="clear" w:color="auto" w:fill="FFFFFF"/>
          </w:tcPr>
          <w:p w:rsidR="00E83D4D" w:rsidRPr="004A7299" w:rsidRDefault="00AE3369" w:rsidP="00BF3993">
            <w:pPr>
              <w:spacing w:after="0" w:line="240" w:lineRule="auto"/>
              <w:jc w:val="right"/>
              <w:rPr>
                <w:rFonts w:ascii="Times New Roman" w:hAnsi="Times New Roman" w:cs="Times New Roman"/>
                <w:color w:val="auto"/>
                <w:sz w:val="20"/>
                <w:szCs w:val="20"/>
              </w:rPr>
            </w:pPr>
            <w:r>
              <w:rPr>
                <w:rFonts w:ascii="Times New Roman" w:hAnsi="Times New Roman" w:cs="Times New Roman"/>
                <w:color w:val="auto"/>
                <w:sz w:val="20"/>
                <w:szCs w:val="20"/>
              </w:rPr>
              <w:t>443,031</w:t>
            </w:r>
          </w:p>
        </w:tc>
        <w:tc>
          <w:tcPr>
            <w:tcW w:w="705" w:type="pct"/>
            <w:shd w:val="clear" w:color="auto" w:fill="FFFFFF"/>
          </w:tcPr>
          <w:p w:rsidR="00E83D4D" w:rsidRPr="004A7299" w:rsidRDefault="00AE3369" w:rsidP="00BF3993">
            <w:pPr>
              <w:spacing w:after="0" w:line="240" w:lineRule="auto"/>
              <w:jc w:val="right"/>
              <w:rPr>
                <w:rFonts w:ascii="Times New Roman" w:hAnsi="Times New Roman" w:cs="Times New Roman"/>
                <w:color w:val="auto"/>
                <w:sz w:val="20"/>
                <w:szCs w:val="20"/>
              </w:rPr>
            </w:pPr>
            <w:r>
              <w:rPr>
                <w:rFonts w:ascii="Times New Roman" w:hAnsi="Times New Roman" w:cs="Times New Roman"/>
                <w:color w:val="auto"/>
                <w:sz w:val="20"/>
                <w:szCs w:val="20"/>
              </w:rPr>
              <w:t>2,075,892</w:t>
            </w:r>
          </w:p>
        </w:tc>
      </w:tr>
      <w:tr w:rsidR="00E83D4D" w:rsidRPr="004A7299" w:rsidTr="00DB5551">
        <w:trPr>
          <w:trHeight w:hRule="exact" w:val="259"/>
          <w:jc w:val="center"/>
        </w:trPr>
        <w:tc>
          <w:tcPr>
            <w:tcW w:w="2822" w:type="pct"/>
            <w:shd w:val="clear" w:color="auto" w:fill="FFFFFF"/>
          </w:tcPr>
          <w:p w:rsidR="00E83D4D" w:rsidRPr="004A7299" w:rsidRDefault="00E83D4D" w:rsidP="00BF3993">
            <w:pPr>
              <w:spacing w:after="0"/>
              <w:rPr>
                <w:rFonts w:ascii="Times New Roman" w:hAnsi="Times New Roman" w:cs="Times New Roman"/>
                <w:color w:val="auto"/>
                <w:sz w:val="20"/>
                <w:szCs w:val="20"/>
              </w:rPr>
            </w:pPr>
            <w:r w:rsidRPr="004A7299">
              <w:rPr>
                <w:rFonts w:ascii="Times New Roman" w:hAnsi="Times New Roman" w:cs="Times New Roman"/>
                <w:color w:val="auto"/>
                <w:sz w:val="20"/>
                <w:szCs w:val="20"/>
              </w:rPr>
              <w:t>LD-2</w:t>
            </w:r>
          </w:p>
        </w:tc>
        <w:tc>
          <w:tcPr>
            <w:tcW w:w="673" w:type="pct"/>
            <w:shd w:val="clear" w:color="auto" w:fill="FFFFFF"/>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GEFTF</w:t>
            </w:r>
          </w:p>
        </w:tc>
        <w:tc>
          <w:tcPr>
            <w:tcW w:w="800" w:type="pct"/>
            <w:shd w:val="clear" w:color="auto" w:fill="FFFFFF"/>
          </w:tcPr>
          <w:p w:rsidR="00E83D4D" w:rsidRPr="004A7299" w:rsidRDefault="00AE3369" w:rsidP="00BF3993">
            <w:pPr>
              <w:jc w:val="right"/>
              <w:rPr>
                <w:rFonts w:ascii="Times New Roman" w:hAnsi="Times New Roman" w:cs="Times New Roman"/>
                <w:color w:val="auto"/>
                <w:sz w:val="20"/>
                <w:szCs w:val="20"/>
              </w:rPr>
            </w:pPr>
            <w:r>
              <w:rPr>
                <w:rFonts w:ascii="Times New Roman" w:hAnsi="Times New Roman" w:cs="Times New Roman"/>
                <w:color w:val="auto"/>
                <w:sz w:val="20"/>
                <w:szCs w:val="20"/>
              </w:rPr>
              <w:t>554,685</w:t>
            </w:r>
          </w:p>
        </w:tc>
        <w:tc>
          <w:tcPr>
            <w:tcW w:w="705" w:type="pct"/>
            <w:shd w:val="clear" w:color="auto" w:fill="FFFFFF"/>
          </w:tcPr>
          <w:p w:rsidR="00E83D4D" w:rsidRPr="004A7299" w:rsidRDefault="00AE3369" w:rsidP="00BF3993">
            <w:pPr>
              <w:jc w:val="right"/>
              <w:rPr>
                <w:rFonts w:ascii="Times New Roman" w:hAnsi="Times New Roman" w:cs="Times New Roman"/>
                <w:color w:val="auto"/>
                <w:sz w:val="20"/>
                <w:szCs w:val="20"/>
              </w:rPr>
            </w:pPr>
            <w:r>
              <w:rPr>
                <w:rFonts w:ascii="Times New Roman" w:hAnsi="Times New Roman" w:cs="Times New Roman"/>
                <w:color w:val="auto"/>
                <w:sz w:val="20"/>
                <w:szCs w:val="20"/>
              </w:rPr>
              <w:t>2,599,065</w:t>
            </w:r>
          </w:p>
        </w:tc>
      </w:tr>
      <w:tr w:rsidR="00E83D4D" w:rsidRPr="004A7299" w:rsidTr="00DB5551">
        <w:trPr>
          <w:trHeight w:hRule="exact" w:val="259"/>
          <w:jc w:val="center"/>
        </w:trPr>
        <w:tc>
          <w:tcPr>
            <w:tcW w:w="2822" w:type="pct"/>
            <w:shd w:val="clear" w:color="auto" w:fill="FFFFFF"/>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LD-3</w:t>
            </w:r>
          </w:p>
        </w:tc>
        <w:tc>
          <w:tcPr>
            <w:tcW w:w="673" w:type="pct"/>
            <w:shd w:val="clear" w:color="auto" w:fill="FFFFFF"/>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GEFTF</w:t>
            </w:r>
          </w:p>
        </w:tc>
        <w:tc>
          <w:tcPr>
            <w:tcW w:w="800" w:type="pct"/>
            <w:shd w:val="clear" w:color="auto" w:fill="FFFFFF"/>
          </w:tcPr>
          <w:p w:rsidR="00E83D4D" w:rsidRPr="004A7299" w:rsidRDefault="00AE3369" w:rsidP="00BF3993">
            <w:pPr>
              <w:jc w:val="right"/>
              <w:rPr>
                <w:rFonts w:ascii="Times New Roman" w:hAnsi="Times New Roman" w:cs="Times New Roman"/>
                <w:color w:val="auto"/>
                <w:sz w:val="20"/>
                <w:szCs w:val="20"/>
              </w:rPr>
            </w:pPr>
            <w:r>
              <w:rPr>
                <w:rFonts w:ascii="Times New Roman" w:hAnsi="Times New Roman" w:cs="Times New Roman"/>
                <w:color w:val="auto"/>
                <w:sz w:val="20"/>
                <w:szCs w:val="20"/>
              </w:rPr>
              <w:t>969,342</w:t>
            </w:r>
          </w:p>
        </w:tc>
        <w:tc>
          <w:tcPr>
            <w:tcW w:w="705" w:type="pct"/>
            <w:shd w:val="clear" w:color="auto" w:fill="FFFFFF"/>
          </w:tcPr>
          <w:p w:rsidR="00E83D4D" w:rsidRPr="004A7299" w:rsidRDefault="00AE3369" w:rsidP="00BF3993">
            <w:pPr>
              <w:jc w:val="right"/>
              <w:rPr>
                <w:rFonts w:ascii="Times New Roman" w:hAnsi="Times New Roman" w:cs="Times New Roman"/>
                <w:color w:val="auto"/>
                <w:sz w:val="20"/>
                <w:szCs w:val="20"/>
              </w:rPr>
            </w:pPr>
            <w:r>
              <w:rPr>
                <w:rFonts w:ascii="Times New Roman" w:hAnsi="Times New Roman" w:cs="Times New Roman"/>
                <w:color w:val="auto"/>
                <w:sz w:val="20"/>
                <w:szCs w:val="20"/>
              </w:rPr>
              <w:t>4,542,006</w:t>
            </w:r>
          </w:p>
        </w:tc>
      </w:tr>
      <w:tr w:rsidR="00E83D4D" w:rsidRPr="004A7299" w:rsidTr="00DB5551">
        <w:trPr>
          <w:trHeight w:hRule="exact" w:val="259"/>
          <w:jc w:val="center"/>
        </w:trPr>
        <w:tc>
          <w:tcPr>
            <w:tcW w:w="2822" w:type="pct"/>
            <w:shd w:val="clear" w:color="auto" w:fill="FFFFFF"/>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CCM-5</w:t>
            </w:r>
          </w:p>
        </w:tc>
        <w:tc>
          <w:tcPr>
            <w:tcW w:w="673" w:type="pct"/>
            <w:shd w:val="clear" w:color="auto" w:fill="FFFFFF"/>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GEFTF</w:t>
            </w:r>
          </w:p>
        </w:tc>
        <w:tc>
          <w:tcPr>
            <w:tcW w:w="800" w:type="pct"/>
            <w:shd w:val="clear" w:color="auto" w:fill="FFFFFF"/>
          </w:tcPr>
          <w:p w:rsidR="00E83D4D" w:rsidRPr="004A7299" w:rsidRDefault="00AE3369" w:rsidP="00BF3993">
            <w:pPr>
              <w:jc w:val="right"/>
              <w:rPr>
                <w:rFonts w:ascii="Times New Roman" w:hAnsi="Times New Roman" w:cs="Times New Roman"/>
                <w:color w:val="auto"/>
                <w:sz w:val="20"/>
                <w:szCs w:val="20"/>
              </w:rPr>
            </w:pPr>
            <w:r>
              <w:rPr>
                <w:rFonts w:ascii="Times New Roman" w:hAnsi="Times New Roman" w:cs="Times New Roman"/>
                <w:color w:val="auto"/>
                <w:sz w:val="20"/>
                <w:szCs w:val="20"/>
              </w:rPr>
              <w:t>265,819</w:t>
            </w:r>
          </w:p>
        </w:tc>
        <w:tc>
          <w:tcPr>
            <w:tcW w:w="705" w:type="pct"/>
            <w:shd w:val="clear" w:color="auto" w:fill="FFFFFF"/>
          </w:tcPr>
          <w:p w:rsidR="00E83D4D" w:rsidRPr="004A7299" w:rsidRDefault="00AE3369" w:rsidP="00BF3993">
            <w:pPr>
              <w:jc w:val="right"/>
              <w:rPr>
                <w:rFonts w:ascii="Times New Roman" w:hAnsi="Times New Roman" w:cs="Times New Roman"/>
                <w:color w:val="auto"/>
                <w:sz w:val="20"/>
                <w:szCs w:val="20"/>
              </w:rPr>
            </w:pPr>
            <w:r>
              <w:rPr>
                <w:rFonts w:ascii="Times New Roman" w:hAnsi="Times New Roman" w:cs="Times New Roman"/>
                <w:color w:val="auto"/>
                <w:sz w:val="20"/>
                <w:szCs w:val="20"/>
              </w:rPr>
              <w:t>1,245,537</w:t>
            </w:r>
          </w:p>
        </w:tc>
      </w:tr>
      <w:tr w:rsidR="00E83D4D" w:rsidRPr="004A7299" w:rsidTr="00DB5551">
        <w:trPr>
          <w:trHeight w:hRule="exact" w:val="259"/>
          <w:jc w:val="center"/>
        </w:trPr>
        <w:tc>
          <w:tcPr>
            <w:tcW w:w="2822" w:type="pct"/>
            <w:shd w:val="clear" w:color="auto" w:fill="FFFFFF"/>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SFM/REDD-1</w:t>
            </w:r>
          </w:p>
        </w:tc>
        <w:tc>
          <w:tcPr>
            <w:tcW w:w="673" w:type="pct"/>
            <w:shd w:val="clear" w:color="auto" w:fill="FFFFFF"/>
          </w:tcPr>
          <w:p w:rsidR="00E83D4D" w:rsidRPr="004A7299" w:rsidRDefault="00E83D4D" w:rsidP="00BF3993">
            <w:pPr>
              <w:rPr>
                <w:rFonts w:ascii="Times New Roman" w:hAnsi="Times New Roman" w:cs="Times New Roman"/>
                <w:color w:val="auto"/>
                <w:sz w:val="20"/>
                <w:szCs w:val="20"/>
              </w:rPr>
            </w:pPr>
            <w:r w:rsidRPr="004A7299">
              <w:rPr>
                <w:rFonts w:ascii="Times New Roman" w:hAnsi="Times New Roman" w:cs="Times New Roman"/>
                <w:color w:val="auto"/>
                <w:sz w:val="20"/>
                <w:szCs w:val="20"/>
              </w:rPr>
              <w:t>GEFTF</w:t>
            </w:r>
          </w:p>
        </w:tc>
        <w:tc>
          <w:tcPr>
            <w:tcW w:w="800" w:type="pct"/>
            <w:shd w:val="clear" w:color="auto" w:fill="FFFFFF"/>
          </w:tcPr>
          <w:p w:rsidR="00E83D4D" w:rsidRPr="004A7299" w:rsidRDefault="00AE3369" w:rsidP="00BF3993">
            <w:pPr>
              <w:jc w:val="right"/>
              <w:rPr>
                <w:rFonts w:ascii="Times New Roman" w:hAnsi="Times New Roman" w:cs="Times New Roman"/>
                <w:color w:val="auto"/>
                <w:sz w:val="20"/>
                <w:szCs w:val="20"/>
              </w:rPr>
            </w:pPr>
            <w:r>
              <w:rPr>
                <w:rFonts w:ascii="Times New Roman" w:hAnsi="Times New Roman" w:cs="Times New Roman"/>
                <w:color w:val="auto"/>
                <w:sz w:val="20"/>
                <w:szCs w:val="20"/>
              </w:rPr>
              <w:t>744,292</w:t>
            </w:r>
          </w:p>
        </w:tc>
        <w:tc>
          <w:tcPr>
            <w:tcW w:w="705" w:type="pct"/>
            <w:shd w:val="clear" w:color="auto" w:fill="FFFFFF"/>
          </w:tcPr>
          <w:p w:rsidR="00E83D4D" w:rsidRPr="004A7299" w:rsidRDefault="00AE3369" w:rsidP="00BF3993">
            <w:pPr>
              <w:jc w:val="right"/>
              <w:rPr>
                <w:rFonts w:ascii="Times New Roman" w:hAnsi="Times New Roman" w:cs="Times New Roman"/>
                <w:color w:val="auto"/>
                <w:sz w:val="20"/>
                <w:szCs w:val="20"/>
              </w:rPr>
            </w:pPr>
            <w:r>
              <w:rPr>
                <w:rFonts w:ascii="Times New Roman" w:hAnsi="Times New Roman" w:cs="Times New Roman"/>
                <w:color w:val="auto"/>
                <w:sz w:val="20"/>
                <w:szCs w:val="20"/>
              </w:rPr>
              <w:t>3,487,500</w:t>
            </w:r>
          </w:p>
        </w:tc>
      </w:tr>
      <w:tr w:rsidR="00E83D4D" w:rsidRPr="004A7299" w:rsidTr="00DB5551">
        <w:trPr>
          <w:trHeight w:hRule="exact" w:val="259"/>
          <w:jc w:val="center"/>
        </w:trPr>
        <w:tc>
          <w:tcPr>
            <w:tcW w:w="2822" w:type="pct"/>
            <w:tcBorders>
              <w:top w:val="double" w:sz="4" w:space="0" w:color="auto"/>
              <w:bottom w:val="double" w:sz="4" w:space="0" w:color="auto"/>
            </w:tcBorders>
            <w:shd w:val="clear" w:color="auto" w:fill="FFFFFF"/>
          </w:tcPr>
          <w:p w:rsidR="00E83D4D" w:rsidRPr="004A7299" w:rsidRDefault="00E83D4D" w:rsidP="00BF3993">
            <w:pPr>
              <w:jc w:val="right"/>
              <w:rPr>
                <w:rFonts w:ascii="Times New Roman" w:hAnsi="Times New Roman" w:cs="Times New Roman"/>
                <w:color w:val="auto"/>
                <w:sz w:val="20"/>
                <w:szCs w:val="20"/>
              </w:rPr>
            </w:pPr>
            <w:r w:rsidRPr="004A7299">
              <w:rPr>
                <w:rFonts w:ascii="Times New Roman" w:hAnsi="Times New Roman" w:cs="Times New Roman"/>
                <w:color w:val="auto"/>
                <w:sz w:val="20"/>
                <w:szCs w:val="20"/>
              </w:rPr>
              <w:t>Total Project Cost</w:t>
            </w:r>
          </w:p>
        </w:tc>
        <w:tc>
          <w:tcPr>
            <w:tcW w:w="673" w:type="pct"/>
            <w:tcBorders>
              <w:top w:val="double" w:sz="4" w:space="0" w:color="auto"/>
              <w:bottom w:val="double" w:sz="4" w:space="0" w:color="auto"/>
            </w:tcBorders>
            <w:shd w:val="clear" w:color="auto" w:fill="FFFFFF"/>
          </w:tcPr>
          <w:p w:rsidR="00E83D4D" w:rsidRPr="004A7299" w:rsidRDefault="00E83D4D" w:rsidP="00BF3993">
            <w:pPr>
              <w:jc w:val="right"/>
              <w:rPr>
                <w:rFonts w:ascii="Times New Roman" w:hAnsi="Times New Roman" w:cs="Times New Roman"/>
                <w:color w:val="auto"/>
                <w:sz w:val="20"/>
                <w:szCs w:val="20"/>
              </w:rPr>
            </w:pPr>
          </w:p>
        </w:tc>
        <w:tc>
          <w:tcPr>
            <w:tcW w:w="800" w:type="pct"/>
            <w:tcBorders>
              <w:top w:val="double" w:sz="4" w:space="0" w:color="auto"/>
              <w:bottom w:val="double" w:sz="4" w:space="0" w:color="auto"/>
            </w:tcBorders>
            <w:shd w:val="clear" w:color="auto" w:fill="FFFFFF"/>
          </w:tcPr>
          <w:p w:rsidR="00E83D4D" w:rsidRPr="004A7299" w:rsidRDefault="00E83D4D" w:rsidP="00BF3993">
            <w:pPr>
              <w:jc w:val="right"/>
              <w:rPr>
                <w:rFonts w:ascii="Times New Roman" w:hAnsi="Times New Roman" w:cs="Times New Roman"/>
                <w:color w:val="auto"/>
                <w:sz w:val="20"/>
                <w:szCs w:val="20"/>
              </w:rPr>
            </w:pPr>
            <w:r w:rsidRPr="004A7299">
              <w:rPr>
                <w:rFonts w:ascii="Times New Roman" w:hAnsi="Times New Roman" w:cs="Times New Roman"/>
                <w:color w:val="auto"/>
                <w:sz w:val="20"/>
                <w:szCs w:val="20"/>
              </w:rPr>
              <w:t>2,977,169</w:t>
            </w:r>
          </w:p>
        </w:tc>
        <w:tc>
          <w:tcPr>
            <w:tcW w:w="705" w:type="pct"/>
            <w:tcBorders>
              <w:top w:val="double" w:sz="4" w:space="0" w:color="auto"/>
              <w:bottom w:val="double" w:sz="4" w:space="0" w:color="auto"/>
            </w:tcBorders>
            <w:shd w:val="clear" w:color="auto" w:fill="FFFFFF"/>
          </w:tcPr>
          <w:p w:rsidR="00E83D4D" w:rsidRPr="004A7299" w:rsidRDefault="00AE3369" w:rsidP="006A223B">
            <w:pPr>
              <w:jc w:val="right"/>
              <w:rPr>
                <w:rFonts w:ascii="Times New Roman" w:hAnsi="Times New Roman" w:cs="Times New Roman"/>
                <w:color w:val="auto"/>
                <w:sz w:val="20"/>
                <w:szCs w:val="20"/>
              </w:rPr>
            </w:pPr>
            <w:r>
              <w:rPr>
                <w:rFonts w:ascii="Times New Roman" w:hAnsi="Times New Roman" w:cs="Times New Roman"/>
                <w:color w:val="auto"/>
                <w:sz w:val="20"/>
                <w:szCs w:val="20"/>
              </w:rPr>
              <w:t>13,950,000</w:t>
            </w:r>
          </w:p>
        </w:tc>
      </w:tr>
    </w:tbl>
    <w:p w:rsidR="00E83D4D" w:rsidRPr="005B6ABF" w:rsidRDefault="00E83D4D" w:rsidP="00BF3993">
      <w:pPr>
        <w:pStyle w:val="Footer"/>
        <w:numPr>
          <w:ilvl w:val="0"/>
          <w:numId w:val="23"/>
        </w:numPr>
        <w:tabs>
          <w:tab w:val="clear" w:pos="4320"/>
          <w:tab w:val="clear" w:pos="8640"/>
        </w:tabs>
        <w:spacing w:before="120" w:after="80"/>
        <w:ind w:left="0" w:firstLine="0"/>
        <w:rPr>
          <w:b/>
          <w:smallCaps/>
          <w:sz w:val="22"/>
          <w:szCs w:val="22"/>
        </w:rPr>
      </w:pPr>
      <w:r>
        <w:rPr>
          <w:b/>
          <w:smallCaps/>
          <w:sz w:val="22"/>
          <w:szCs w:val="22"/>
        </w:rPr>
        <w:t xml:space="preserve">indicative </w:t>
      </w:r>
      <w:r w:rsidRPr="005B6ABF">
        <w:rPr>
          <w:b/>
          <w:smallCaps/>
          <w:sz w:val="22"/>
          <w:szCs w:val="22"/>
        </w:rPr>
        <w:t xml:space="preserve">Project </w:t>
      </w:r>
      <w:r>
        <w:rPr>
          <w:b/>
          <w:smallCaps/>
          <w:sz w:val="22"/>
          <w:szCs w:val="22"/>
        </w:rPr>
        <w:t>description summary</w:t>
      </w:r>
    </w:p>
    <w:tbl>
      <w:tblPr>
        <w:tblW w:w="50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184"/>
        <w:gridCol w:w="450"/>
        <w:gridCol w:w="2522"/>
        <w:gridCol w:w="4229"/>
        <w:gridCol w:w="719"/>
        <w:gridCol w:w="991"/>
        <w:gridCol w:w="994"/>
      </w:tblGrid>
      <w:tr w:rsidR="00E83D4D" w:rsidRPr="004A7299" w:rsidTr="00BF3993">
        <w:trPr>
          <w:trHeight w:val="260"/>
          <w:jc w:val="center"/>
        </w:trPr>
        <w:tc>
          <w:tcPr>
            <w:tcW w:w="5000" w:type="pct"/>
            <w:gridSpan w:val="7"/>
            <w:shd w:val="clear" w:color="auto" w:fill="FFFFFF"/>
            <w:vAlign w:val="center"/>
          </w:tcPr>
          <w:p w:rsidR="00E83D4D" w:rsidRPr="00AA193C" w:rsidRDefault="00E83D4D" w:rsidP="0009127E">
            <w:pPr>
              <w:pStyle w:val="Heading3"/>
              <w:jc w:val="both"/>
              <w:rPr>
                <w:bCs/>
                <w:iCs/>
                <w:color w:val="000000"/>
                <w:sz w:val="20"/>
                <w:szCs w:val="20"/>
              </w:rPr>
            </w:pPr>
            <w:r w:rsidRPr="00AA193C">
              <w:rPr>
                <w:b/>
                <w:bCs/>
                <w:iCs/>
                <w:color w:val="000000"/>
                <w:sz w:val="20"/>
                <w:szCs w:val="20"/>
              </w:rPr>
              <w:t>Project Objective:</w:t>
            </w:r>
            <w:r w:rsidRPr="00AA193C">
              <w:rPr>
                <w:bCs/>
                <w:iCs/>
                <w:color w:val="000000"/>
                <w:sz w:val="20"/>
                <w:szCs w:val="20"/>
              </w:rPr>
              <w:t xml:space="preserve"> </w:t>
            </w:r>
            <w:r w:rsidRPr="0009127E">
              <w:rPr>
                <w:sz w:val="20"/>
                <w:szCs w:val="20"/>
              </w:rPr>
              <w:t>Sustainable land and forest</w:t>
            </w:r>
            <w:r w:rsidRPr="00AA193C">
              <w:rPr>
                <w:sz w:val="20"/>
                <w:szCs w:val="20"/>
              </w:rPr>
              <w:t xml:space="preserve"> management in the </w:t>
            </w:r>
            <w:smartTag w:uri="urn:schemas-microsoft-com:office:smarttags" w:element="place">
              <w:r w:rsidRPr="00AA193C">
                <w:rPr>
                  <w:sz w:val="20"/>
                  <w:szCs w:val="20"/>
                </w:rPr>
                <w:t>NE Armenia</w:t>
              </w:r>
            </w:smartTag>
            <w:r w:rsidRPr="00AA193C">
              <w:rPr>
                <w:sz w:val="20"/>
                <w:szCs w:val="20"/>
              </w:rPr>
              <w:t xml:space="preserve"> secures </w:t>
            </w:r>
            <w:r>
              <w:rPr>
                <w:sz w:val="20"/>
                <w:szCs w:val="20"/>
              </w:rPr>
              <w:t xml:space="preserve">continued flow of multiple ecosystem services (such as water provision, land slide control and carbon storage and sequestration) and ensures conservation of </w:t>
            </w:r>
            <w:r w:rsidRPr="00AA193C">
              <w:rPr>
                <w:sz w:val="20"/>
                <w:szCs w:val="20"/>
              </w:rPr>
              <w:t>critical wildlife habitats</w:t>
            </w:r>
          </w:p>
        </w:tc>
      </w:tr>
      <w:tr w:rsidR="00E83D4D" w:rsidRPr="009533A2" w:rsidTr="008E5035">
        <w:trPr>
          <w:trHeight w:val="260"/>
          <w:jc w:val="center"/>
        </w:trPr>
        <w:tc>
          <w:tcPr>
            <w:tcW w:w="534" w:type="pct"/>
            <w:shd w:val="clear" w:color="auto" w:fill="FFFFFF"/>
            <w:tcMar>
              <w:left w:w="72" w:type="dxa"/>
              <w:right w:w="72" w:type="dxa"/>
            </w:tcMar>
            <w:vAlign w:val="center"/>
          </w:tcPr>
          <w:p w:rsidR="00E83D4D" w:rsidRPr="009533A2" w:rsidRDefault="00E83D4D" w:rsidP="00BF3993">
            <w:pPr>
              <w:pStyle w:val="Heading3"/>
              <w:ind w:left="72"/>
              <w:jc w:val="center"/>
              <w:rPr>
                <w:b/>
                <w:bCs/>
                <w:iCs/>
                <w:color w:val="000000"/>
                <w:sz w:val="20"/>
                <w:szCs w:val="20"/>
              </w:rPr>
            </w:pPr>
            <w:r w:rsidRPr="009533A2">
              <w:rPr>
                <w:b/>
                <w:bCs/>
                <w:iCs/>
                <w:color w:val="000000"/>
                <w:sz w:val="20"/>
                <w:szCs w:val="20"/>
              </w:rPr>
              <w:t>Project Component</w:t>
            </w:r>
          </w:p>
        </w:tc>
        <w:tc>
          <w:tcPr>
            <w:tcW w:w="203" w:type="pct"/>
            <w:shd w:val="clear" w:color="auto" w:fill="FFFFFF"/>
            <w:tcMar>
              <w:left w:w="14" w:type="dxa"/>
              <w:right w:w="14" w:type="dxa"/>
            </w:tcMar>
            <w:vAlign w:val="center"/>
          </w:tcPr>
          <w:p w:rsidR="00E83D4D" w:rsidRPr="009533A2" w:rsidRDefault="00E83D4D" w:rsidP="00BF3993">
            <w:pPr>
              <w:pStyle w:val="Heading3"/>
              <w:ind w:left="72"/>
              <w:jc w:val="center"/>
              <w:rPr>
                <w:b/>
                <w:bCs/>
                <w:iCs/>
                <w:color w:val="000000"/>
                <w:sz w:val="20"/>
                <w:szCs w:val="20"/>
              </w:rPr>
            </w:pPr>
            <w:r w:rsidRPr="009533A2">
              <w:rPr>
                <w:b/>
                <w:bCs/>
                <w:iCs/>
                <w:color w:val="000000"/>
                <w:sz w:val="20"/>
                <w:szCs w:val="20"/>
              </w:rPr>
              <w:t>Grant Type</w:t>
            </w:r>
          </w:p>
          <w:p w:rsidR="00E83D4D" w:rsidRPr="009533A2" w:rsidRDefault="00E83D4D" w:rsidP="00BF3993">
            <w:pPr>
              <w:pStyle w:val="Heading3"/>
              <w:ind w:left="72"/>
              <w:jc w:val="center"/>
              <w:rPr>
                <w:b/>
                <w:bCs/>
                <w:iCs/>
                <w:color w:val="000000"/>
                <w:sz w:val="20"/>
                <w:szCs w:val="20"/>
              </w:rPr>
            </w:pPr>
          </w:p>
        </w:tc>
        <w:tc>
          <w:tcPr>
            <w:tcW w:w="1137" w:type="pct"/>
            <w:shd w:val="clear" w:color="auto" w:fill="FFFFFF"/>
            <w:tcMar>
              <w:left w:w="72" w:type="dxa"/>
              <w:right w:w="72" w:type="dxa"/>
            </w:tcMar>
            <w:vAlign w:val="center"/>
          </w:tcPr>
          <w:p w:rsidR="00E83D4D" w:rsidRPr="009533A2" w:rsidRDefault="00E83D4D" w:rsidP="00BF3993">
            <w:pPr>
              <w:pStyle w:val="Heading3"/>
              <w:ind w:left="72"/>
              <w:jc w:val="center"/>
              <w:rPr>
                <w:b/>
                <w:bCs/>
                <w:iCs/>
                <w:color w:val="000000"/>
                <w:sz w:val="20"/>
                <w:szCs w:val="20"/>
              </w:rPr>
            </w:pPr>
            <w:r w:rsidRPr="009533A2">
              <w:rPr>
                <w:b/>
                <w:bCs/>
                <w:iCs/>
                <w:color w:val="000000"/>
                <w:sz w:val="20"/>
                <w:szCs w:val="20"/>
              </w:rPr>
              <w:t>Expected Outcomes</w:t>
            </w:r>
          </w:p>
        </w:tc>
        <w:tc>
          <w:tcPr>
            <w:tcW w:w="1907" w:type="pct"/>
            <w:shd w:val="clear" w:color="auto" w:fill="FFFFFF"/>
            <w:tcMar>
              <w:left w:w="72" w:type="dxa"/>
              <w:right w:w="72" w:type="dxa"/>
            </w:tcMar>
          </w:tcPr>
          <w:p w:rsidR="00E83D4D" w:rsidRPr="009533A2" w:rsidRDefault="00E83D4D" w:rsidP="00BF3993">
            <w:pPr>
              <w:pStyle w:val="Heading3"/>
              <w:jc w:val="center"/>
              <w:rPr>
                <w:b/>
                <w:bCs/>
                <w:iCs/>
                <w:color w:val="000000"/>
                <w:sz w:val="20"/>
                <w:szCs w:val="20"/>
              </w:rPr>
            </w:pPr>
          </w:p>
          <w:p w:rsidR="00E83D4D" w:rsidRPr="009533A2" w:rsidRDefault="00E83D4D" w:rsidP="00BF3993">
            <w:pPr>
              <w:pStyle w:val="Heading3"/>
              <w:jc w:val="center"/>
              <w:rPr>
                <w:b/>
                <w:bCs/>
                <w:iCs/>
                <w:color w:val="000000"/>
                <w:sz w:val="20"/>
                <w:szCs w:val="20"/>
              </w:rPr>
            </w:pPr>
            <w:r w:rsidRPr="009533A2">
              <w:rPr>
                <w:b/>
                <w:bCs/>
                <w:iCs/>
                <w:color w:val="000000"/>
                <w:sz w:val="20"/>
                <w:szCs w:val="20"/>
              </w:rPr>
              <w:t>Expected Outputs</w:t>
            </w:r>
          </w:p>
        </w:tc>
        <w:tc>
          <w:tcPr>
            <w:tcW w:w="324" w:type="pct"/>
            <w:shd w:val="clear" w:color="auto" w:fill="FFFFFF"/>
            <w:tcMar>
              <w:left w:w="72" w:type="dxa"/>
              <w:right w:w="72" w:type="dxa"/>
            </w:tcMar>
          </w:tcPr>
          <w:p w:rsidR="00E83D4D" w:rsidRPr="009533A2" w:rsidRDefault="00E83D4D" w:rsidP="00BF3993">
            <w:pPr>
              <w:pStyle w:val="Heading3"/>
              <w:jc w:val="center"/>
              <w:rPr>
                <w:b/>
                <w:bCs/>
                <w:iCs/>
                <w:color w:val="000000"/>
                <w:sz w:val="20"/>
                <w:szCs w:val="20"/>
              </w:rPr>
            </w:pPr>
            <w:r w:rsidRPr="009533A2">
              <w:rPr>
                <w:b/>
                <w:bCs/>
                <w:iCs/>
                <w:color w:val="000000"/>
                <w:sz w:val="20"/>
                <w:szCs w:val="20"/>
              </w:rPr>
              <w:t>Trust Fund</w:t>
            </w:r>
          </w:p>
        </w:tc>
        <w:tc>
          <w:tcPr>
            <w:tcW w:w="447" w:type="pct"/>
            <w:shd w:val="clear" w:color="auto" w:fill="FFFFFF"/>
            <w:tcMar>
              <w:left w:w="72" w:type="dxa"/>
              <w:right w:w="72" w:type="dxa"/>
            </w:tcMar>
          </w:tcPr>
          <w:p w:rsidR="00E83D4D" w:rsidRPr="009533A2" w:rsidRDefault="00E83D4D" w:rsidP="00BF3993">
            <w:pPr>
              <w:pStyle w:val="Heading3"/>
              <w:jc w:val="center"/>
              <w:rPr>
                <w:b/>
                <w:bCs/>
                <w:iCs/>
                <w:color w:val="000000"/>
                <w:sz w:val="20"/>
                <w:szCs w:val="20"/>
              </w:rPr>
            </w:pPr>
            <w:r w:rsidRPr="009533A2">
              <w:rPr>
                <w:b/>
                <w:bCs/>
                <w:iCs/>
                <w:color w:val="000000"/>
                <w:sz w:val="20"/>
                <w:szCs w:val="20"/>
              </w:rPr>
              <w:t xml:space="preserve">Indicative </w:t>
            </w:r>
          </w:p>
          <w:p w:rsidR="00E83D4D" w:rsidRPr="009533A2" w:rsidRDefault="00E83D4D" w:rsidP="00BF3993">
            <w:pPr>
              <w:pStyle w:val="Heading3"/>
              <w:jc w:val="center"/>
              <w:rPr>
                <w:b/>
                <w:bCs/>
                <w:iCs/>
                <w:color w:val="000000"/>
                <w:sz w:val="20"/>
                <w:szCs w:val="20"/>
              </w:rPr>
            </w:pPr>
            <w:r w:rsidRPr="009533A2">
              <w:rPr>
                <w:b/>
                <w:bCs/>
                <w:iCs/>
                <w:color w:val="000000"/>
                <w:sz w:val="20"/>
                <w:szCs w:val="20"/>
              </w:rPr>
              <w:t xml:space="preserve">Grant Amount ($) </w:t>
            </w:r>
          </w:p>
        </w:tc>
        <w:tc>
          <w:tcPr>
            <w:tcW w:w="448" w:type="pct"/>
            <w:shd w:val="clear" w:color="auto" w:fill="FFFFFF"/>
            <w:tcMar>
              <w:left w:w="72" w:type="dxa"/>
              <w:right w:w="72" w:type="dxa"/>
            </w:tcMar>
          </w:tcPr>
          <w:p w:rsidR="00E83D4D" w:rsidRPr="009533A2" w:rsidRDefault="00E83D4D" w:rsidP="00BF3993">
            <w:pPr>
              <w:pStyle w:val="Heading3"/>
              <w:jc w:val="center"/>
              <w:rPr>
                <w:b/>
                <w:bCs/>
                <w:iCs/>
                <w:color w:val="000000"/>
                <w:sz w:val="20"/>
                <w:szCs w:val="20"/>
              </w:rPr>
            </w:pPr>
            <w:r w:rsidRPr="009533A2">
              <w:rPr>
                <w:b/>
                <w:bCs/>
                <w:iCs/>
                <w:color w:val="000000"/>
                <w:sz w:val="20"/>
                <w:szCs w:val="20"/>
              </w:rPr>
              <w:t>Indicative Co financing</w:t>
            </w:r>
          </w:p>
          <w:p w:rsidR="00E83D4D" w:rsidRPr="009533A2" w:rsidRDefault="00E83D4D" w:rsidP="00BF3993">
            <w:pPr>
              <w:pStyle w:val="Heading3"/>
              <w:jc w:val="center"/>
              <w:rPr>
                <w:b/>
                <w:bCs/>
                <w:iCs/>
                <w:color w:val="000000"/>
                <w:sz w:val="20"/>
                <w:szCs w:val="20"/>
              </w:rPr>
            </w:pPr>
            <w:r w:rsidRPr="009533A2">
              <w:rPr>
                <w:b/>
                <w:bCs/>
                <w:iCs/>
                <w:color w:val="000000"/>
                <w:sz w:val="20"/>
                <w:szCs w:val="20"/>
              </w:rPr>
              <w:t xml:space="preserve">($) </w:t>
            </w:r>
          </w:p>
        </w:tc>
      </w:tr>
      <w:tr w:rsidR="00E83D4D" w:rsidRPr="009533A2" w:rsidTr="008E5035">
        <w:trPr>
          <w:jc w:val="center"/>
        </w:trPr>
        <w:tc>
          <w:tcPr>
            <w:tcW w:w="534" w:type="pct"/>
            <w:shd w:val="clear" w:color="auto" w:fill="FFFFFF"/>
            <w:tcMar>
              <w:left w:w="72" w:type="dxa"/>
              <w:right w:w="72" w:type="dxa"/>
            </w:tcMar>
          </w:tcPr>
          <w:p w:rsidR="00E83D4D" w:rsidRPr="009533A2" w:rsidRDefault="00E83D4D" w:rsidP="00BF399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 xml:space="preserve">Enabling environment and strengthened capacities for districts in </w:t>
            </w:r>
            <w:smartTag w:uri="urn:schemas-microsoft-com:office:smarttags" w:element="place">
              <w:r w:rsidRPr="009533A2">
                <w:rPr>
                  <w:rFonts w:ascii="Times New Roman" w:hAnsi="Times New Roman" w:cs="Times New Roman"/>
                  <w:color w:val="auto"/>
                  <w:sz w:val="20"/>
                  <w:szCs w:val="20"/>
                </w:rPr>
                <w:t>NE Armenia</w:t>
              </w:r>
            </w:smartTag>
            <w:r w:rsidRPr="009533A2">
              <w:rPr>
                <w:rFonts w:ascii="Times New Roman" w:hAnsi="Times New Roman" w:cs="Times New Roman"/>
                <w:color w:val="auto"/>
                <w:sz w:val="20"/>
                <w:szCs w:val="20"/>
              </w:rPr>
              <w:t xml:space="preserve"> to plan, monitor and adapt sustainable forest and land management </w:t>
            </w:r>
          </w:p>
          <w:p w:rsidR="00E83D4D" w:rsidRPr="009533A2" w:rsidRDefault="00E83D4D" w:rsidP="00BF3993">
            <w:pPr>
              <w:rPr>
                <w:rFonts w:ascii="Times New Roman" w:hAnsi="Times New Roman" w:cs="Times New Roman"/>
                <w:color w:val="auto"/>
                <w:sz w:val="20"/>
                <w:szCs w:val="20"/>
              </w:rPr>
            </w:pPr>
          </w:p>
        </w:tc>
        <w:tc>
          <w:tcPr>
            <w:tcW w:w="203" w:type="pct"/>
            <w:shd w:val="clear" w:color="auto" w:fill="FFFFFF"/>
            <w:tcMar>
              <w:left w:w="72" w:type="dxa"/>
              <w:right w:w="72" w:type="dxa"/>
            </w:tcMar>
          </w:tcPr>
          <w:p w:rsidR="00E83D4D" w:rsidRPr="009533A2" w:rsidRDefault="00E83D4D" w:rsidP="00BF399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TA</w:t>
            </w:r>
          </w:p>
        </w:tc>
        <w:tc>
          <w:tcPr>
            <w:tcW w:w="1137" w:type="pct"/>
            <w:shd w:val="clear" w:color="auto" w:fill="FFFFFF"/>
            <w:tcMar>
              <w:left w:w="72" w:type="dxa"/>
              <w:right w:w="72" w:type="dxa"/>
            </w:tcMar>
          </w:tcPr>
          <w:p w:rsidR="00E83D4D" w:rsidRPr="009533A2" w:rsidRDefault="00E83D4D" w:rsidP="00FE1B81">
            <w:pPr>
              <w:widowControl w:val="0"/>
              <w:spacing w:after="80" w:line="240" w:lineRule="auto"/>
              <w:rPr>
                <w:rFonts w:ascii="Times New Roman" w:hAnsi="Times New Roman" w:cs="Times New Roman"/>
                <w:i/>
                <w:color w:val="auto"/>
                <w:sz w:val="20"/>
                <w:szCs w:val="20"/>
              </w:rPr>
            </w:pPr>
            <w:r w:rsidRPr="009533A2">
              <w:rPr>
                <w:rFonts w:ascii="Times New Roman" w:hAnsi="Times New Roman" w:cs="Times New Roman"/>
                <w:i/>
                <w:color w:val="auto"/>
                <w:sz w:val="20"/>
                <w:szCs w:val="20"/>
              </w:rPr>
              <w:t>Reduced degradation over 0.65 million ha of forest landscapes in NE Armenia leading to unabated provision of ecosystem services such as water supply and carbon sequestration as a transformative result of improved land-use planning, evidenced by 15-20% increases in the LD-PMAT and SFM Tracking Tools</w:t>
            </w:r>
            <w:r w:rsidRPr="009533A2">
              <w:rPr>
                <w:rFonts w:ascii="Times New Roman" w:hAnsi="Times New Roman" w:cs="Times New Roman"/>
                <w:i/>
                <w:color w:val="auto"/>
                <w:sz w:val="20"/>
                <w:szCs w:val="20"/>
                <w:vertAlign w:val="superscript"/>
              </w:rPr>
              <w:footnoteReference w:id="1"/>
            </w:r>
          </w:p>
          <w:p w:rsidR="00E83D4D" w:rsidRPr="009533A2" w:rsidRDefault="00E83D4D">
            <w:pPr>
              <w:spacing w:line="240" w:lineRule="auto"/>
              <w:rPr>
                <w:i/>
              </w:rPr>
            </w:pPr>
            <w:r w:rsidRPr="009533A2">
              <w:rPr>
                <w:rFonts w:ascii="Times New Roman" w:hAnsi="Times New Roman" w:cs="Times New Roman"/>
                <w:i/>
                <w:color w:val="auto"/>
                <w:sz w:val="20"/>
                <w:szCs w:val="20"/>
              </w:rPr>
              <w:t>Enhanced local capacities for enforcement of sustainable forest and land management in NE Armenia, evidenced by 20% increase in UNDP-GEF Capacity Development Scorecard</w:t>
            </w:r>
            <w:r w:rsidR="00E92ADA" w:rsidRPr="009533A2">
              <w:rPr>
                <w:rFonts w:ascii="Times New Roman" w:hAnsi="Times New Roman" w:cs="Times New Roman"/>
                <w:i/>
                <w:color w:val="auto"/>
                <w:sz w:val="20"/>
                <w:szCs w:val="20"/>
              </w:rPr>
              <w:t xml:space="preserve"> and reduction in deforestation rate and overexploitation </w:t>
            </w:r>
            <w:r w:rsidR="00E92ADA" w:rsidRPr="009533A2">
              <w:rPr>
                <w:rFonts w:ascii="Times New Roman" w:hAnsi="Times New Roman" w:cs="Times New Roman"/>
                <w:i/>
                <w:color w:val="auto"/>
                <w:sz w:val="20"/>
                <w:szCs w:val="20"/>
              </w:rPr>
              <w:lastRenderedPageBreak/>
              <w:t>rate of forests</w:t>
            </w:r>
          </w:p>
        </w:tc>
        <w:tc>
          <w:tcPr>
            <w:tcW w:w="1907" w:type="pct"/>
            <w:shd w:val="clear" w:color="auto" w:fill="FFFFFF"/>
            <w:tcMar>
              <w:left w:w="72" w:type="dxa"/>
              <w:right w:w="72" w:type="dxa"/>
            </w:tcMar>
          </w:tcPr>
          <w:p w:rsidR="00E83D4D" w:rsidRPr="009533A2" w:rsidRDefault="00E83D4D" w:rsidP="00FE1B81">
            <w:pPr>
              <w:spacing w:after="12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lastRenderedPageBreak/>
              <w:t xml:space="preserve">Output 1.1 Integrated Forest and Land Use Plans (IFLUPs) developed for the two districts (marzes) totaling 650,000 ha, enabling optimal allocation of land </w:t>
            </w:r>
            <w:r w:rsidR="00A60EDA" w:rsidRPr="009533A2">
              <w:rPr>
                <w:rFonts w:ascii="Times New Roman" w:hAnsi="Times New Roman" w:cs="Times New Roman"/>
                <w:color w:val="auto"/>
                <w:sz w:val="20"/>
                <w:szCs w:val="20"/>
              </w:rPr>
              <w:t xml:space="preserve">between different land uses </w:t>
            </w:r>
            <w:r w:rsidRPr="009533A2">
              <w:rPr>
                <w:rFonts w:ascii="Times New Roman" w:hAnsi="Times New Roman" w:cs="Times New Roman"/>
                <w:color w:val="auto"/>
                <w:sz w:val="20"/>
                <w:szCs w:val="20"/>
              </w:rPr>
              <w:t xml:space="preserve">to generate development benefits and critical LD, BD and carbon benefits in tandem. </w:t>
            </w:r>
          </w:p>
          <w:p w:rsidR="00E83D4D" w:rsidRPr="009533A2" w:rsidRDefault="00E83D4D" w:rsidP="00FE1B81">
            <w:pPr>
              <w:spacing w:after="12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Output 1.2. GIS system to support IFLUPs development, implementation and monitoring.</w:t>
            </w:r>
          </w:p>
          <w:p w:rsidR="00E83D4D" w:rsidRPr="009533A2" w:rsidRDefault="00E83D4D" w:rsidP="00495F2D">
            <w:pPr>
              <w:spacing w:before="120" w:after="0" w:line="240" w:lineRule="auto"/>
              <w:rPr>
                <w:rFonts w:ascii="Times New Roman" w:hAnsi="Times New Roman" w:cs="Times New Roman"/>
                <w:color w:val="auto"/>
                <w:kern w:val="0"/>
                <w:sz w:val="20"/>
                <w:szCs w:val="20"/>
                <w:lang w:val="en-GB"/>
              </w:rPr>
            </w:pPr>
            <w:r w:rsidRPr="009533A2">
              <w:rPr>
                <w:rFonts w:ascii="Times New Roman" w:hAnsi="Times New Roman" w:cs="Times New Roman"/>
                <w:color w:val="auto"/>
                <w:kern w:val="0"/>
                <w:sz w:val="20"/>
                <w:szCs w:val="20"/>
                <w:lang w:val="en-GB"/>
              </w:rPr>
              <w:t xml:space="preserve">Output 1.3. Multi-sectoral stakeholder committees at each of the 2 marzes oversee IFLUPs development, implementation and enforcement. </w:t>
            </w:r>
          </w:p>
          <w:p w:rsidR="00E83D4D" w:rsidRPr="009533A2" w:rsidRDefault="00E83D4D" w:rsidP="00495F2D">
            <w:pPr>
              <w:spacing w:before="120"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Output 1.4. System for effective monitoring and enforcement of the IFLUPs, including clear delineation of roles and responsibilities among key Government actors. Municipal/Regional inspectors will be capacitated to enforce the new land use regulations, and manage the participatory process of development of the IFLUPs.</w:t>
            </w:r>
          </w:p>
          <w:p w:rsidR="00E83D4D" w:rsidRPr="009533A2" w:rsidRDefault="00E83D4D" w:rsidP="00495F2D">
            <w:pPr>
              <w:spacing w:before="120" w:after="0" w:line="240" w:lineRule="auto"/>
              <w:rPr>
                <w:rFonts w:ascii="Times New Roman" w:hAnsi="Times New Roman" w:cs="Times New Roman"/>
                <w:color w:val="auto"/>
                <w:sz w:val="20"/>
                <w:szCs w:val="20"/>
              </w:rPr>
            </w:pPr>
            <w:r w:rsidRPr="009533A2">
              <w:rPr>
                <w:rFonts w:ascii="Times New Roman" w:hAnsi="Times New Roman" w:cs="Times New Roman"/>
                <w:color w:val="auto"/>
                <w:kern w:val="0"/>
                <w:sz w:val="20"/>
                <w:szCs w:val="20"/>
                <w:lang w:val="en-GB"/>
              </w:rPr>
              <w:t xml:space="preserve">Output 1.5. A set of national level policies and regulations on sustainable land and forest </w:t>
            </w:r>
            <w:r w:rsidRPr="009533A2">
              <w:rPr>
                <w:rFonts w:ascii="Times New Roman" w:hAnsi="Times New Roman" w:cs="Times New Roman"/>
                <w:color w:val="auto"/>
                <w:kern w:val="0"/>
                <w:sz w:val="20"/>
                <w:szCs w:val="20"/>
                <w:lang w:val="en-GB"/>
              </w:rPr>
              <w:lastRenderedPageBreak/>
              <w:t xml:space="preserve">management to facilitate adoption of SLM and SFM in </w:t>
            </w:r>
            <w:smartTag w:uri="urn:schemas-microsoft-com:office:smarttags" w:element="place">
              <w:smartTag w:uri="urn:schemas-microsoft-com:office:smarttags" w:element="country-region">
                <w:r w:rsidRPr="009533A2">
                  <w:rPr>
                    <w:rFonts w:ascii="Times New Roman" w:hAnsi="Times New Roman" w:cs="Times New Roman"/>
                    <w:color w:val="auto"/>
                    <w:kern w:val="0"/>
                    <w:sz w:val="20"/>
                    <w:szCs w:val="20"/>
                    <w:lang w:val="en-GB"/>
                  </w:rPr>
                  <w:t>Armenia</w:t>
                </w:r>
              </w:smartTag>
            </w:smartTag>
            <w:r w:rsidRPr="009533A2">
              <w:rPr>
                <w:rFonts w:ascii="Times New Roman" w:hAnsi="Times New Roman" w:cs="Times New Roman"/>
                <w:color w:val="auto"/>
                <w:kern w:val="0"/>
                <w:sz w:val="20"/>
                <w:szCs w:val="20"/>
                <w:lang w:val="en-GB"/>
              </w:rPr>
              <w:t xml:space="preserve"> (</w:t>
            </w:r>
            <w:r w:rsidRPr="009533A2">
              <w:rPr>
                <w:rFonts w:ascii="Times New Roman" w:hAnsi="Times New Roman" w:cs="Times New Roman"/>
                <w:i/>
                <w:color w:val="auto"/>
                <w:kern w:val="0"/>
                <w:sz w:val="20"/>
                <w:szCs w:val="20"/>
                <w:lang w:val="en-GB"/>
              </w:rPr>
              <w:t>ref.details in main text</w:t>
            </w:r>
            <w:r w:rsidRPr="009533A2">
              <w:rPr>
                <w:rFonts w:ascii="Times New Roman" w:hAnsi="Times New Roman" w:cs="Times New Roman"/>
                <w:color w:val="auto"/>
                <w:kern w:val="0"/>
                <w:sz w:val="20"/>
                <w:szCs w:val="20"/>
                <w:lang w:val="en-GB"/>
              </w:rPr>
              <w:t>).</w:t>
            </w:r>
          </w:p>
        </w:tc>
        <w:tc>
          <w:tcPr>
            <w:tcW w:w="324" w:type="pct"/>
            <w:shd w:val="clear" w:color="auto" w:fill="FFFFFF"/>
            <w:tcMar>
              <w:left w:w="14" w:type="dxa"/>
              <w:right w:w="14" w:type="dxa"/>
            </w:tcMar>
          </w:tcPr>
          <w:p w:rsidR="00E83D4D" w:rsidRPr="009533A2" w:rsidRDefault="00E83D4D" w:rsidP="00BF3993">
            <w:pPr>
              <w:jc w:val="center"/>
              <w:rPr>
                <w:rFonts w:ascii="Times New Roman" w:hAnsi="Times New Roman" w:cs="Times New Roman"/>
                <w:color w:val="auto"/>
                <w:sz w:val="20"/>
                <w:szCs w:val="20"/>
              </w:rPr>
            </w:pPr>
            <w:r w:rsidRPr="009533A2">
              <w:rPr>
                <w:rFonts w:ascii="Times New Roman" w:hAnsi="Times New Roman" w:cs="Times New Roman"/>
                <w:color w:val="auto"/>
                <w:sz w:val="20"/>
                <w:szCs w:val="20"/>
              </w:rPr>
              <w:lastRenderedPageBreak/>
              <w:t>GEFTF</w:t>
            </w:r>
          </w:p>
        </w:tc>
        <w:tc>
          <w:tcPr>
            <w:tcW w:w="447" w:type="pct"/>
            <w:shd w:val="clear" w:color="auto" w:fill="FFFFFF"/>
            <w:tcMar>
              <w:left w:w="29" w:type="dxa"/>
              <w:right w:w="29" w:type="dxa"/>
            </w:tcMar>
          </w:tcPr>
          <w:p w:rsidR="007C06F1" w:rsidRPr="009533A2" w:rsidRDefault="007C06F1" w:rsidP="007C06F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1,177,400</w:t>
            </w:r>
          </w:p>
          <w:p w:rsidR="007C06F1" w:rsidRPr="009533A2" w:rsidRDefault="007C06F1" w:rsidP="007C06F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BD: 210,967</w:t>
            </w:r>
          </w:p>
          <w:p w:rsidR="007C06F1" w:rsidRPr="009533A2" w:rsidRDefault="007C06F1" w:rsidP="007C06F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LD: 966,433</w:t>
            </w:r>
          </w:p>
          <w:p w:rsidR="00E83D4D" w:rsidRPr="009533A2" w:rsidRDefault="00E83D4D" w:rsidP="004E1152">
            <w:pPr>
              <w:jc w:val="right"/>
              <w:rPr>
                <w:rFonts w:ascii="Times New Roman" w:hAnsi="Times New Roman" w:cs="Times New Roman"/>
                <w:color w:val="auto"/>
                <w:sz w:val="20"/>
                <w:szCs w:val="20"/>
              </w:rPr>
            </w:pPr>
          </w:p>
        </w:tc>
        <w:tc>
          <w:tcPr>
            <w:tcW w:w="448" w:type="pct"/>
            <w:shd w:val="clear" w:color="auto" w:fill="FFFFFF"/>
            <w:tcMar>
              <w:left w:w="29" w:type="dxa"/>
              <w:right w:w="29" w:type="dxa"/>
            </w:tcMar>
          </w:tcPr>
          <w:p w:rsidR="00E83D4D" w:rsidRPr="009533A2" w:rsidRDefault="00C03E30" w:rsidP="002426B3">
            <w:pPr>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5,516,89</w:t>
            </w:r>
            <w:r w:rsidR="002426B3" w:rsidRPr="009533A2">
              <w:rPr>
                <w:rFonts w:ascii="Times New Roman" w:hAnsi="Times New Roman" w:cs="Times New Roman"/>
                <w:color w:val="auto"/>
                <w:sz w:val="20"/>
                <w:szCs w:val="20"/>
              </w:rPr>
              <w:t>5</w:t>
            </w:r>
          </w:p>
        </w:tc>
      </w:tr>
      <w:tr w:rsidR="00E83D4D" w:rsidRPr="009533A2" w:rsidTr="008E5035">
        <w:trPr>
          <w:jc w:val="center"/>
        </w:trPr>
        <w:tc>
          <w:tcPr>
            <w:tcW w:w="534" w:type="pct"/>
            <w:shd w:val="clear" w:color="auto" w:fill="FFFFFF"/>
            <w:tcMar>
              <w:left w:w="72" w:type="dxa"/>
              <w:right w:w="72" w:type="dxa"/>
            </w:tcMar>
          </w:tcPr>
          <w:p w:rsidR="00E83D4D" w:rsidRPr="009533A2" w:rsidRDefault="00E83D4D" w:rsidP="00B91E25">
            <w:pPr>
              <w:rPr>
                <w:color w:val="auto"/>
                <w:sz w:val="20"/>
                <w:szCs w:val="20"/>
              </w:rPr>
            </w:pPr>
            <w:r w:rsidRPr="009533A2">
              <w:rPr>
                <w:rFonts w:ascii="Times New Roman" w:hAnsi="Times New Roman" w:cs="Times New Roman"/>
                <w:color w:val="auto"/>
                <w:sz w:val="20"/>
                <w:szCs w:val="20"/>
              </w:rPr>
              <w:lastRenderedPageBreak/>
              <w:t>Investment in sustainable forest management</w:t>
            </w:r>
          </w:p>
        </w:tc>
        <w:tc>
          <w:tcPr>
            <w:tcW w:w="203" w:type="pct"/>
            <w:shd w:val="clear" w:color="auto" w:fill="FFFFFF"/>
            <w:tcMar>
              <w:left w:w="72" w:type="dxa"/>
              <w:right w:w="72" w:type="dxa"/>
            </w:tcMar>
          </w:tcPr>
          <w:p w:rsidR="00E83D4D" w:rsidRPr="009533A2" w:rsidRDefault="00E83D4D" w:rsidP="00BF3993">
            <w:pPr>
              <w:rPr>
                <w:color w:val="auto"/>
                <w:sz w:val="20"/>
                <w:szCs w:val="20"/>
              </w:rPr>
            </w:pPr>
          </w:p>
        </w:tc>
        <w:tc>
          <w:tcPr>
            <w:tcW w:w="1137" w:type="pct"/>
            <w:shd w:val="clear" w:color="auto" w:fill="FFFFFF"/>
            <w:tcMar>
              <w:left w:w="72" w:type="dxa"/>
              <w:right w:w="72" w:type="dxa"/>
            </w:tcMar>
          </w:tcPr>
          <w:p w:rsidR="00E83D4D" w:rsidRPr="009533A2" w:rsidRDefault="00E83D4D" w:rsidP="00FE1B81">
            <w:pPr>
              <w:spacing w:after="0" w:line="240" w:lineRule="auto"/>
              <w:rPr>
                <w:rFonts w:ascii="Times New Roman" w:hAnsi="Times New Roman" w:cs="Times New Roman"/>
                <w:i/>
                <w:color w:val="auto"/>
                <w:sz w:val="20"/>
                <w:szCs w:val="20"/>
              </w:rPr>
            </w:pPr>
            <w:r w:rsidRPr="009533A2">
              <w:rPr>
                <w:rFonts w:ascii="Times New Roman" w:hAnsi="Times New Roman" w:cs="Times New Roman"/>
                <w:i/>
                <w:color w:val="auto"/>
                <w:sz w:val="20"/>
                <w:szCs w:val="20"/>
              </w:rPr>
              <w:t>Demonstrated sustainable forest management at 190,000 ha, evidenced by:</w:t>
            </w:r>
          </w:p>
          <w:p w:rsidR="00E83D4D" w:rsidRPr="009533A2" w:rsidRDefault="00E83D4D" w:rsidP="00FE1B81">
            <w:pPr>
              <w:numPr>
                <w:ilvl w:val="0"/>
                <w:numId w:val="39"/>
              </w:numPr>
              <w:tabs>
                <w:tab w:val="clear" w:pos="720"/>
                <w:tab w:val="num" w:pos="360"/>
              </w:tabs>
              <w:spacing w:after="0" w:line="240" w:lineRule="auto"/>
              <w:ind w:left="360"/>
              <w:rPr>
                <w:rFonts w:ascii="Times New Roman" w:hAnsi="Times New Roman" w:cs="Times New Roman"/>
                <w:i/>
                <w:color w:val="auto"/>
                <w:sz w:val="20"/>
                <w:szCs w:val="20"/>
              </w:rPr>
            </w:pPr>
            <w:r w:rsidRPr="009533A2">
              <w:rPr>
                <w:rFonts w:ascii="Times New Roman" w:hAnsi="Times New Roman" w:cs="Times New Roman"/>
                <w:i/>
                <w:color w:val="auto"/>
                <w:sz w:val="20"/>
                <w:szCs w:val="20"/>
              </w:rPr>
              <w:t>Adoption of SFM by forest enterprises</w:t>
            </w:r>
          </w:p>
          <w:p w:rsidR="00E83D4D" w:rsidRPr="009533A2" w:rsidRDefault="00E83D4D" w:rsidP="00FE1B81">
            <w:pPr>
              <w:numPr>
                <w:ilvl w:val="0"/>
                <w:numId w:val="39"/>
              </w:numPr>
              <w:tabs>
                <w:tab w:val="clear" w:pos="720"/>
                <w:tab w:val="num" w:pos="360"/>
              </w:tabs>
              <w:spacing w:after="0" w:line="240" w:lineRule="auto"/>
              <w:ind w:left="360"/>
              <w:rPr>
                <w:rFonts w:ascii="Times New Roman" w:hAnsi="Times New Roman" w:cs="Times New Roman"/>
                <w:i/>
                <w:color w:val="auto"/>
                <w:sz w:val="20"/>
                <w:szCs w:val="20"/>
              </w:rPr>
            </w:pPr>
            <w:r w:rsidRPr="009533A2">
              <w:rPr>
                <w:rFonts w:ascii="Times New Roman" w:hAnsi="Times New Roman" w:cs="Times New Roman"/>
                <w:i/>
                <w:color w:val="auto"/>
                <w:sz w:val="20"/>
                <w:szCs w:val="20"/>
              </w:rPr>
              <w:t>Improved water provision services and reduced threats of landslides</w:t>
            </w:r>
          </w:p>
          <w:p w:rsidR="00E83D4D" w:rsidRPr="009533A2" w:rsidRDefault="00E83D4D" w:rsidP="00FE1B81">
            <w:pPr>
              <w:numPr>
                <w:ilvl w:val="0"/>
                <w:numId w:val="39"/>
              </w:numPr>
              <w:tabs>
                <w:tab w:val="clear" w:pos="720"/>
                <w:tab w:val="num" w:pos="360"/>
              </w:tabs>
              <w:spacing w:after="0" w:line="240" w:lineRule="auto"/>
              <w:ind w:left="360"/>
              <w:rPr>
                <w:rFonts w:ascii="Times New Roman" w:hAnsi="Times New Roman" w:cs="Times New Roman"/>
                <w:i/>
                <w:color w:val="auto"/>
                <w:sz w:val="20"/>
                <w:szCs w:val="20"/>
              </w:rPr>
            </w:pPr>
            <w:r w:rsidRPr="009533A2">
              <w:rPr>
                <w:rFonts w:ascii="Times New Roman" w:hAnsi="Times New Roman" w:cs="Times New Roman"/>
                <w:i/>
                <w:color w:val="auto"/>
                <w:sz w:val="20"/>
                <w:szCs w:val="20"/>
              </w:rPr>
              <w:t xml:space="preserve">Avoiding emissions of 66,792 tCO2-eq/y from unsustainable logging and sequestration of 18,660 tCO2/y as a result of forest restoration efforts </w:t>
            </w:r>
          </w:p>
          <w:p w:rsidR="00E83D4D" w:rsidRPr="009533A2" w:rsidRDefault="00E83D4D" w:rsidP="00FE1B81">
            <w:pPr>
              <w:numPr>
                <w:ilvl w:val="0"/>
                <w:numId w:val="39"/>
              </w:numPr>
              <w:tabs>
                <w:tab w:val="clear" w:pos="720"/>
                <w:tab w:val="num" w:pos="360"/>
              </w:tabs>
              <w:spacing w:after="0" w:line="240" w:lineRule="auto"/>
              <w:ind w:left="360"/>
              <w:rPr>
                <w:rFonts w:ascii="Times New Roman" w:hAnsi="Times New Roman" w:cs="Times New Roman"/>
                <w:i/>
                <w:color w:val="auto"/>
                <w:sz w:val="20"/>
                <w:szCs w:val="20"/>
              </w:rPr>
            </w:pPr>
            <w:r w:rsidRPr="009533A2">
              <w:rPr>
                <w:rFonts w:ascii="Times New Roman" w:hAnsi="Times New Roman" w:cs="Times New Roman"/>
                <w:i/>
                <w:color w:val="auto"/>
                <w:sz w:val="20"/>
                <w:szCs w:val="20"/>
              </w:rPr>
              <w:t xml:space="preserve">Increased Connectivity between Core Biodiversity Rich Areas resulting in stable populations of Bear and Lynx in </w:t>
            </w:r>
            <w:smartTag w:uri="urn:schemas-microsoft-com:office:smarttags" w:element="place">
              <w:r w:rsidRPr="009533A2">
                <w:rPr>
                  <w:rFonts w:ascii="Times New Roman" w:hAnsi="Times New Roman" w:cs="Times New Roman"/>
                  <w:i/>
                  <w:color w:val="auto"/>
                  <w:sz w:val="20"/>
                  <w:szCs w:val="20"/>
                </w:rPr>
                <w:t>NE Armenia</w:t>
              </w:r>
            </w:smartTag>
            <w:r w:rsidRPr="009533A2">
              <w:rPr>
                <w:rFonts w:ascii="Times New Roman" w:hAnsi="Times New Roman" w:cs="Times New Roman"/>
                <w:i/>
                <w:color w:val="auto"/>
                <w:sz w:val="20"/>
                <w:szCs w:val="20"/>
              </w:rPr>
              <w:t xml:space="preserve"> [Baseline to be established in PPG]</w:t>
            </w:r>
          </w:p>
          <w:p w:rsidR="00D767CA" w:rsidRPr="009533A2" w:rsidRDefault="00D767CA" w:rsidP="00FE1B81">
            <w:pPr>
              <w:numPr>
                <w:ilvl w:val="0"/>
                <w:numId w:val="39"/>
              </w:numPr>
              <w:tabs>
                <w:tab w:val="clear" w:pos="720"/>
                <w:tab w:val="num" w:pos="360"/>
              </w:tabs>
              <w:spacing w:after="0" w:line="240" w:lineRule="auto"/>
              <w:ind w:left="360"/>
              <w:rPr>
                <w:rFonts w:ascii="Times New Roman" w:hAnsi="Times New Roman" w:cs="Times New Roman"/>
                <w:i/>
                <w:color w:val="auto"/>
                <w:sz w:val="20"/>
                <w:szCs w:val="20"/>
              </w:rPr>
            </w:pPr>
            <w:r w:rsidRPr="009533A2">
              <w:rPr>
                <w:rFonts w:ascii="Times New Roman" w:hAnsi="Times New Roman" w:cs="Times New Roman"/>
                <w:i/>
                <w:color w:val="auto"/>
                <w:sz w:val="20"/>
                <w:szCs w:val="20"/>
              </w:rPr>
              <w:t>Reduced Annual Area where Illegal Clear</w:t>
            </w:r>
            <w:r w:rsidR="00A60EDA" w:rsidRPr="009533A2">
              <w:rPr>
                <w:rFonts w:ascii="Times New Roman" w:hAnsi="Times New Roman" w:cs="Times New Roman"/>
                <w:i/>
                <w:color w:val="auto"/>
                <w:sz w:val="20"/>
                <w:szCs w:val="20"/>
              </w:rPr>
              <w:t>cut F</w:t>
            </w:r>
            <w:r w:rsidRPr="009533A2">
              <w:rPr>
                <w:rFonts w:ascii="Times New Roman" w:hAnsi="Times New Roman" w:cs="Times New Roman"/>
                <w:i/>
                <w:color w:val="auto"/>
                <w:sz w:val="20"/>
                <w:szCs w:val="20"/>
              </w:rPr>
              <w:t>elling took place [Baseline to be established in PPG]</w:t>
            </w:r>
          </w:p>
          <w:p w:rsidR="00E83D4D" w:rsidRPr="009533A2" w:rsidRDefault="00E83D4D" w:rsidP="00FE1B81">
            <w:pPr>
              <w:spacing w:before="120" w:after="0" w:line="240" w:lineRule="auto"/>
              <w:contextualSpacing/>
              <w:outlineLvl w:val="0"/>
              <w:rPr>
                <w:rFonts w:ascii="Times New Roman" w:hAnsi="Times New Roman" w:cs="Times New Roman"/>
                <w:i/>
                <w:color w:val="auto"/>
                <w:sz w:val="20"/>
                <w:szCs w:val="20"/>
                <w:lang w:val="en-GB"/>
              </w:rPr>
            </w:pPr>
            <w:r w:rsidRPr="009533A2">
              <w:rPr>
                <w:rFonts w:ascii="Times New Roman" w:hAnsi="Times New Roman" w:cs="Times New Roman"/>
                <w:i/>
                <w:color w:val="auto"/>
                <w:sz w:val="20"/>
                <w:szCs w:val="20"/>
                <w:lang w:val="en-GB"/>
              </w:rPr>
              <w:t>Expected increase in LD-PMAT and SFM tracking tools: 15 – 20% over baseline</w:t>
            </w:r>
            <w:r w:rsidRPr="009533A2">
              <w:rPr>
                <w:rFonts w:ascii="Times New Roman" w:hAnsi="Times New Roman" w:cs="Times New Roman"/>
                <w:i/>
                <w:color w:val="auto"/>
                <w:sz w:val="20"/>
                <w:szCs w:val="20"/>
                <w:vertAlign w:val="superscript"/>
                <w:lang w:val="en-GB"/>
              </w:rPr>
              <w:footnoteReference w:id="2"/>
            </w:r>
          </w:p>
        </w:tc>
        <w:tc>
          <w:tcPr>
            <w:tcW w:w="1907" w:type="pct"/>
            <w:shd w:val="clear" w:color="auto" w:fill="FFFFFF"/>
            <w:tcMar>
              <w:left w:w="72" w:type="dxa"/>
              <w:right w:w="72" w:type="dxa"/>
            </w:tcMar>
          </w:tcPr>
          <w:p w:rsidR="00E83D4D" w:rsidRPr="009533A2" w:rsidRDefault="00E83D4D" w:rsidP="00D144BE">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 xml:space="preserve">Output 2.1 </w:t>
            </w:r>
            <w:smartTag w:uri="urn:schemas-microsoft-com:office:smarttags" w:element="place">
              <w:r w:rsidRPr="009533A2">
                <w:rPr>
                  <w:rFonts w:ascii="Times New Roman" w:hAnsi="Times New Roman" w:cs="Times New Roman"/>
                  <w:color w:val="auto"/>
                  <w:sz w:val="20"/>
                  <w:szCs w:val="20"/>
                </w:rPr>
                <w:t>Forest</w:t>
              </w:r>
            </w:smartTag>
            <w:r w:rsidRPr="009533A2">
              <w:rPr>
                <w:rFonts w:ascii="Times New Roman" w:hAnsi="Times New Roman" w:cs="Times New Roman"/>
                <w:color w:val="auto"/>
                <w:sz w:val="20"/>
                <w:szCs w:val="20"/>
              </w:rPr>
              <w:t xml:space="preserve"> management plans of 10 Forest Enterprise Branches revised to be reconciled with SFM principles.</w:t>
            </w:r>
          </w:p>
          <w:p w:rsidR="00E83D4D" w:rsidRPr="009533A2" w:rsidRDefault="00E83D4D" w:rsidP="00617685">
            <w:pPr>
              <w:spacing w:before="120"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 xml:space="preserve">2.1.a Biodiversity and ES monitoring protocols integrated in the revised forest management plans </w:t>
            </w:r>
          </w:p>
          <w:p w:rsidR="00E83D4D" w:rsidRPr="009533A2" w:rsidRDefault="00E83D4D" w:rsidP="00D144BE">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 xml:space="preserve">2.1.b Carbon stock and fluxes monitoring system. </w:t>
            </w:r>
          </w:p>
          <w:p w:rsidR="00E83D4D" w:rsidRPr="009533A2" w:rsidRDefault="00E83D4D" w:rsidP="00617685">
            <w:pPr>
              <w:spacing w:before="120"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Output 2.2 Set asides for High Conservation Value Forests created at 85,000 ha of current production forests, prescribing their non-exhaustive use.</w:t>
            </w:r>
          </w:p>
          <w:p w:rsidR="00E83D4D" w:rsidRPr="009533A2" w:rsidRDefault="00E83D4D" w:rsidP="00617685">
            <w:pPr>
              <w:spacing w:before="120"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Output 2.3 Restoration of app. 3,000 hectares of degraded forest adjacent to productive forests to counteract ongoing and past land degradation (e.g. burnt forests, past clear-cut fellings).</w:t>
            </w:r>
          </w:p>
          <w:p w:rsidR="00E83D4D" w:rsidRPr="009533A2" w:rsidRDefault="00E83D4D" w:rsidP="00BF3993">
            <w:pPr>
              <w:spacing w:before="120"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Output 2.4 Alternative livelihoods program for local communities designed and tested in order to relieve pressures from local communities on forest resources (GEF LD Funding US$ 500,000; Environmental Funds subsidy pools – US$1 million)</w:t>
            </w:r>
            <w:r w:rsidR="00AD309C" w:rsidRPr="009533A2">
              <w:rPr>
                <w:rStyle w:val="FootnoteReference"/>
                <w:rFonts w:ascii="Times New Roman" w:hAnsi="Times New Roman"/>
                <w:color w:val="auto"/>
                <w:sz w:val="20"/>
                <w:szCs w:val="20"/>
              </w:rPr>
              <w:footnoteReference w:id="3"/>
            </w:r>
          </w:p>
          <w:p w:rsidR="00E83D4D" w:rsidRPr="009533A2" w:rsidRDefault="00E83D4D" w:rsidP="00EB759B">
            <w:pPr>
              <w:spacing w:before="120" w:after="0" w:line="240" w:lineRule="auto"/>
              <w:rPr>
                <w:rFonts w:ascii="Times New Roman" w:hAnsi="Times New Roman" w:cs="Times New Roman"/>
                <w:color w:val="auto"/>
                <w:sz w:val="20"/>
                <w:szCs w:val="20"/>
              </w:rPr>
            </w:pPr>
          </w:p>
        </w:tc>
        <w:tc>
          <w:tcPr>
            <w:tcW w:w="324" w:type="pct"/>
            <w:shd w:val="clear" w:color="auto" w:fill="FFFFFF"/>
            <w:tcMar>
              <w:left w:w="29" w:type="dxa"/>
              <w:right w:w="29" w:type="dxa"/>
            </w:tcMar>
          </w:tcPr>
          <w:p w:rsidR="00E83D4D" w:rsidRPr="009533A2" w:rsidRDefault="00E83D4D" w:rsidP="00BF3993">
            <w:pPr>
              <w:rPr>
                <w:color w:val="auto"/>
              </w:rPr>
            </w:pPr>
            <w:r w:rsidRPr="009533A2">
              <w:rPr>
                <w:rFonts w:ascii="Times New Roman" w:hAnsi="Times New Roman" w:cs="Times New Roman"/>
                <w:color w:val="auto"/>
                <w:sz w:val="20"/>
                <w:szCs w:val="20"/>
              </w:rPr>
              <w:t>GEFTF</w:t>
            </w:r>
          </w:p>
        </w:tc>
        <w:tc>
          <w:tcPr>
            <w:tcW w:w="447" w:type="pct"/>
            <w:shd w:val="clear" w:color="auto" w:fill="FFFFFF"/>
            <w:tcMar>
              <w:left w:w="72" w:type="dxa"/>
              <w:right w:w="72" w:type="dxa"/>
            </w:tcMar>
          </w:tcPr>
          <w:p w:rsidR="008A3B22" w:rsidRPr="009533A2" w:rsidRDefault="008A3B22" w:rsidP="008A3B22">
            <w:pPr>
              <w:spacing w:after="0" w:line="240" w:lineRule="auto"/>
              <w:jc w:val="right"/>
              <w:rPr>
                <w:rFonts w:ascii="Times New Roman" w:hAnsi="Times New Roman" w:cs="Times New Roman"/>
                <w:color w:val="auto"/>
                <w:sz w:val="20"/>
                <w:szCs w:val="20"/>
                <w:lang w:val="sv-SE"/>
              </w:rPr>
            </w:pPr>
            <w:r w:rsidRPr="009533A2">
              <w:rPr>
                <w:rFonts w:ascii="Times New Roman" w:hAnsi="Times New Roman" w:cs="Times New Roman"/>
                <w:color w:val="auto"/>
                <w:sz w:val="20"/>
                <w:szCs w:val="20"/>
                <w:lang w:val="sv-SE"/>
              </w:rPr>
              <w:t>1,657,999</w:t>
            </w:r>
          </w:p>
          <w:p w:rsidR="008A3B22" w:rsidRPr="009533A2" w:rsidRDefault="008A3B22" w:rsidP="008A3B22">
            <w:pPr>
              <w:spacing w:after="0" w:line="240" w:lineRule="auto"/>
              <w:jc w:val="right"/>
              <w:rPr>
                <w:rFonts w:ascii="Times New Roman" w:hAnsi="Times New Roman" w:cs="Times New Roman"/>
                <w:color w:val="auto"/>
                <w:sz w:val="20"/>
                <w:szCs w:val="20"/>
                <w:lang w:val="sv-SE"/>
              </w:rPr>
            </w:pPr>
            <w:r w:rsidRPr="009533A2">
              <w:rPr>
                <w:rFonts w:ascii="Times New Roman" w:hAnsi="Times New Roman" w:cs="Times New Roman"/>
                <w:color w:val="auto"/>
                <w:sz w:val="20"/>
                <w:szCs w:val="20"/>
                <w:lang w:val="sv-SE"/>
              </w:rPr>
              <w:t>BD: 210,967</w:t>
            </w:r>
          </w:p>
          <w:p w:rsidR="008A3B22" w:rsidRPr="009533A2" w:rsidRDefault="008A3B22" w:rsidP="008A3B22">
            <w:pPr>
              <w:spacing w:after="0" w:line="240" w:lineRule="auto"/>
              <w:jc w:val="right"/>
              <w:rPr>
                <w:rFonts w:ascii="Times New Roman" w:hAnsi="Times New Roman" w:cs="Times New Roman"/>
                <w:color w:val="auto"/>
                <w:sz w:val="20"/>
                <w:szCs w:val="20"/>
                <w:lang w:val="sv-SE"/>
              </w:rPr>
            </w:pPr>
            <w:r w:rsidRPr="009533A2">
              <w:rPr>
                <w:rFonts w:ascii="Times New Roman" w:hAnsi="Times New Roman" w:cs="Times New Roman"/>
                <w:color w:val="auto"/>
                <w:sz w:val="20"/>
                <w:szCs w:val="20"/>
                <w:lang w:val="sv-SE"/>
              </w:rPr>
              <w:t>LD: 485,021</w:t>
            </w:r>
          </w:p>
          <w:p w:rsidR="008A3B22" w:rsidRPr="009533A2" w:rsidRDefault="008A3B22" w:rsidP="008A3B22">
            <w:pPr>
              <w:spacing w:after="0" w:line="240" w:lineRule="auto"/>
              <w:jc w:val="right"/>
              <w:rPr>
                <w:rFonts w:ascii="Times New Roman" w:hAnsi="Times New Roman" w:cs="Times New Roman"/>
                <w:color w:val="auto"/>
                <w:sz w:val="20"/>
                <w:szCs w:val="20"/>
                <w:lang w:val="sv-SE"/>
              </w:rPr>
            </w:pPr>
            <w:r w:rsidRPr="009533A2">
              <w:rPr>
                <w:rFonts w:ascii="Times New Roman" w:hAnsi="Times New Roman" w:cs="Times New Roman"/>
                <w:color w:val="auto"/>
                <w:sz w:val="20"/>
                <w:szCs w:val="20"/>
                <w:lang w:val="sv-SE"/>
              </w:rPr>
              <w:t>CC: 253,161</w:t>
            </w:r>
          </w:p>
          <w:p w:rsidR="008A3B22" w:rsidRPr="009533A2" w:rsidRDefault="008A3B22" w:rsidP="008A3B22">
            <w:pPr>
              <w:spacing w:after="0" w:line="240" w:lineRule="auto"/>
              <w:jc w:val="right"/>
              <w:rPr>
                <w:lang w:val="sv-SE"/>
              </w:rPr>
            </w:pPr>
            <w:r w:rsidRPr="009533A2">
              <w:rPr>
                <w:rFonts w:ascii="Times New Roman" w:hAnsi="Times New Roman" w:cs="Times New Roman"/>
                <w:color w:val="auto"/>
                <w:sz w:val="20"/>
                <w:szCs w:val="20"/>
                <w:lang w:val="sv-SE"/>
              </w:rPr>
              <w:t>SFM/ REDD: 708,850</w:t>
            </w:r>
          </w:p>
          <w:p w:rsidR="008A3B22" w:rsidRPr="009533A2" w:rsidRDefault="008A3B22" w:rsidP="007C06F1">
            <w:pPr>
              <w:jc w:val="right"/>
              <w:rPr>
                <w:rFonts w:ascii="Times New Roman" w:hAnsi="Times New Roman" w:cs="Times New Roman"/>
                <w:color w:val="auto"/>
                <w:sz w:val="20"/>
                <w:szCs w:val="20"/>
                <w:lang w:val="sv-SE"/>
              </w:rPr>
            </w:pPr>
          </w:p>
        </w:tc>
        <w:tc>
          <w:tcPr>
            <w:tcW w:w="448" w:type="pct"/>
            <w:shd w:val="clear" w:color="auto" w:fill="FFFFFF"/>
            <w:tcMar>
              <w:left w:w="72" w:type="dxa"/>
              <w:right w:w="72" w:type="dxa"/>
            </w:tcMar>
          </w:tcPr>
          <w:p w:rsidR="00E83D4D" w:rsidRPr="009533A2" w:rsidRDefault="00C03E30" w:rsidP="00BF3993">
            <w:pPr>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7,768,819</w:t>
            </w:r>
          </w:p>
        </w:tc>
      </w:tr>
      <w:tr w:rsidR="00E83D4D" w:rsidRPr="009533A2" w:rsidTr="008E5035">
        <w:trPr>
          <w:jc w:val="center"/>
        </w:trPr>
        <w:tc>
          <w:tcPr>
            <w:tcW w:w="1874" w:type="pct"/>
            <w:gridSpan w:val="3"/>
            <w:shd w:val="clear" w:color="auto" w:fill="FFFFFF"/>
            <w:tcMar>
              <w:left w:w="72" w:type="dxa"/>
              <w:right w:w="72" w:type="dxa"/>
            </w:tcMar>
          </w:tcPr>
          <w:p w:rsidR="00E83D4D" w:rsidRPr="009533A2" w:rsidRDefault="00E83D4D" w:rsidP="00BF3993">
            <w:pPr>
              <w:spacing w:after="0" w:line="240" w:lineRule="auto"/>
              <w:jc w:val="right"/>
              <w:rPr>
                <w:color w:val="auto"/>
                <w:sz w:val="20"/>
                <w:szCs w:val="20"/>
              </w:rPr>
            </w:pPr>
            <w:r w:rsidRPr="009533A2">
              <w:rPr>
                <w:rFonts w:ascii="Times New Roman" w:hAnsi="Times New Roman" w:cs="Times New Roman"/>
                <w:color w:val="auto"/>
                <w:sz w:val="20"/>
                <w:szCs w:val="20"/>
              </w:rPr>
              <w:t xml:space="preserve">Subtotal </w:t>
            </w:r>
          </w:p>
        </w:tc>
        <w:tc>
          <w:tcPr>
            <w:tcW w:w="1907" w:type="pct"/>
            <w:shd w:val="clear" w:color="auto" w:fill="FFFFFF"/>
            <w:tcMar>
              <w:left w:w="72" w:type="dxa"/>
              <w:right w:w="72" w:type="dxa"/>
            </w:tcMar>
          </w:tcPr>
          <w:p w:rsidR="00E83D4D" w:rsidRPr="009533A2" w:rsidRDefault="00E83D4D" w:rsidP="00BF3993">
            <w:pPr>
              <w:spacing w:after="0" w:line="240" w:lineRule="auto"/>
              <w:rPr>
                <w:color w:val="auto"/>
                <w:sz w:val="20"/>
                <w:szCs w:val="20"/>
              </w:rPr>
            </w:pPr>
          </w:p>
        </w:tc>
        <w:tc>
          <w:tcPr>
            <w:tcW w:w="324" w:type="pct"/>
            <w:shd w:val="clear" w:color="auto" w:fill="FFFFFF"/>
            <w:tcMar>
              <w:left w:w="72" w:type="dxa"/>
              <w:right w:w="72" w:type="dxa"/>
            </w:tcMar>
          </w:tcPr>
          <w:p w:rsidR="00E83D4D" w:rsidRPr="009533A2" w:rsidRDefault="00E83D4D" w:rsidP="00BF3993">
            <w:pPr>
              <w:spacing w:after="0" w:line="240" w:lineRule="auto"/>
              <w:rPr>
                <w:rFonts w:ascii="Times New Roman" w:hAnsi="Times New Roman" w:cs="Times New Roman"/>
                <w:color w:val="auto"/>
                <w:sz w:val="20"/>
                <w:szCs w:val="20"/>
              </w:rPr>
            </w:pPr>
          </w:p>
        </w:tc>
        <w:tc>
          <w:tcPr>
            <w:tcW w:w="447" w:type="pct"/>
            <w:shd w:val="clear" w:color="auto" w:fill="FFFFFF"/>
            <w:tcMar>
              <w:left w:w="72" w:type="dxa"/>
              <w:right w:w="72" w:type="dxa"/>
            </w:tcMar>
          </w:tcPr>
          <w:p w:rsidR="00E83D4D" w:rsidRPr="009533A2" w:rsidRDefault="00E83D4D" w:rsidP="00E176D7">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2,835,399</w:t>
            </w:r>
          </w:p>
        </w:tc>
        <w:tc>
          <w:tcPr>
            <w:tcW w:w="448" w:type="pct"/>
            <w:shd w:val="clear" w:color="auto" w:fill="FFFFFF"/>
            <w:tcMar>
              <w:left w:w="29" w:type="dxa"/>
              <w:right w:w="29" w:type="dxa"/>
            </w:tcMar>
          </w:tcPr>
          <w:p w:rsidR="00E83D4D" w:rsidRPr="009533A2" w:rsidRDefault="00C03E30" w:rsidP="00E176D7">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13,285,714</w:t>
            </w:r>
          </w:p>
        </w:tc>
      </w:tr>
      <w:tr w:rsidR="00E83D4D" w:rsidRPr="009533A2" w:rsidTr="008E5035">
        <w:trPr>
          <w:jc w:val="center"/>
        </w:trPr>
        <w:tc>
          <w:tcPr>
            <w:tcW w:w="1874" w:type="pct"/>
            <w:gridSpan w:val="3"/>
            <w:tcBorders>
              <w:top w:val="double" w:sz="4" w:space="0" w:color="auto"/>
              <w:bottom w:val="double" w:sz="4" w:space="0" w:color="auto"/>
            </w:tcBorders>
            <w:shd w:val="clear" w:color="auto" w:fill="FFFFFF"/>
            <w:tcMar>
              <w:left w:w="72" w:type="dxa"/>
              <w:right w:w="72" w:type="dxa"/>
            </w:tcMar>
          </w:tcPr>
          <w:p w:rsidR="00E83D4D" w:rsidRPr="009533A2" w:rsidRDefault="00E83D4D" w:rsidP="00BF3993">
            <w:pPr>
              <w:spacing w:after="0" w:line="240" w:lineRule="auto"/>
              <w:jc w:val="right"/>
              <w:rPr>
                <w:color w:val="auto"/>
                <w:sz w:val="20"/>
                <w:szCs w:val="20"/>
              </w:rPr>
            </w:pPr>
            <w:r w:rsidRPr="009533A2">
              <w:rPr>
                <w:rFonts w:ascii="Times New Roman" w:hAnsi="Times New Roman" w:cs="Times New Roman"/>
                <w:color w:val="auto"/>
                <w:sz w:val="20"/>
                <w:szCs w:val="20"/>
              </w:rPr>
              <w:t>Project Management Cost (PMC)</w:t>
            </w:r>
          </w:p>
        </w:tc>
        <w:tc>
          <w:tcPr>
            <w:tcW w:w="1907" w:type="pct"/>
            <w:tcBorders>
              <w:top w:val="double" w:sz="4" w:space="0" w:color="auto"/>
              <w:bottom w:val="double" w:sz="4" w:space="0" w:color="auto"/>
            </w:tcBorders>
            <w:shd w:val="clear" w:color="auto" w:fill="FFFFFF"/>
            <w:tcMar>
              <w:left w:w="72" w:type="dxa"/>
              <w:right w:w="72" w:type="dxa"/>
            </w:tcMar>
          </w:tcPr>
          <w:p w:rsidR="00E83D4D" w:rsidRPr="009533A2" w:rsidRDefault="00E83D4D" w:rsidP="00BF3993">
            <w:pPr>
              <w:spacing w:after="0" w:line="240" w:lineRule="auto"/>
              <w:rPr>
                <w:color w:val="auto"/>
                <w:sz w:val="20"/>
                <w:szCs w:val="20"/>
              </w:rPr>
            </w:pPr>
          </w:p>
        </w:tc>
        <w:tc>
          <w:tcPr>
            <w:tcW w:w="324" w:type="pct"/>
            <w:tcBorders>
              <w:top w:val="double" w:sz="4" w:space="0" w:color="auto"/>
              <w:bottom w:val="double" w:sz="4" w:space="0" w:color="auto"/>
            </w:tcBorders>
            <w:shd w:val="clear" w:color="auto" w:fill="FFFFFF"/>
            <w:tcMar>
              <w:left w:w="29" w:type="dxa"/>
              <w:right w:w="29" w:type="dxa"/>
            </w:tcMar>
          </w:tcPr>
          <w:p w:rsidR="00E83D4D" w:rsidRPr="009533A2" w:rsidRDefault="00E83D4D" w:rsidP="00BF3993">
            <w:pPr>
              <w:spacing w:after="0" w:line="240" w:lineRule="auto"/>
              <w:rPr>
                <w:rFonts w:ascii="Times New Roman" w:hAnsi="Times New Roman" w:cs="Times New Roman"/>
                <w:color w:val="auto"/>
              </w:rPr>
            </w:pPr>
            <w:r w:rsidRPr="009533A2">
              <w:rPr>
                <w:rFonts w:ascii="Times New Roman" w:hAnsi="Times New Roman" w:cs="Times New Roman"/>
                <w:color w:val="auto"/>
                <w:sz w:val="20"/>
                <w:szCs w:val="20"/>
              </w:rPr>
              <w:t>GEFTF</w:t>
            </w:r>
          </w:p>
        </w:tc>
        <w:tc>
          <w:tcPr>
            <w:tcW w:w="447" w:type="pct"/>
            <w:tcBorders>
              <w:bottom w:val="double" w:sz="4" w:space="0" w:color="auto"/>
            </w:tcBorders>
            <w:shd w:val="clear" w:color="auto" w:fill="FFFFFF"/>
            <w:tcMar>
              <w:left w:w="72" w:type="dxa"/>
              <w:right w:w="72" w:type="dxa"/>
            </w:tcMar>
          </w:tcPr>
          <w:p w:rsidR="00E83D4D" w:rsidRPr="009533A2" w:rsidRDefault="00E83D4D" w:rsidP="00E176D7">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141,770</w:t>
            </w:r>
          </w:p>
        </w:tc>
        <w:tc>
          <w:tcPr>
            <w:tcW w:w="448" w:type="pct"/>
            <w:tcBorders>
              <w:bottom w:val="double" w:sz="4" w:space="0" w:color="auto"/>
            </w:tcBorders>
            <w:shd w:val="clear" w:color="auto" w:fill="FFFFFF"/>
            <w:tcMar>
              <w:left w:w="72" w:type="dxa"/>
              <w:right w:w="72" w:type="dxa"/>
            </w:tcMar>
          </w:tcPr>
          <w:p w:rsidR="00E83D4D" w:rsidRPr="009533A2" w:rsidRDefault="00C03E30" w:rsidP="00E176D7">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664,286</w:t>
            </w:r>
          </w:p>
        </w:tc>
      </w:tr>
      <w:tr w:rsidR="00E83D4D" w:rsidRPr="009533A2" w:rsidTr="008E5035">
        <w:trPr>
          <w:jc w:val="center"/>
        </w:trPr>
        <w:tc>
          <w:tcPr>
            <w:tcW w:w="1874" w:type="pct"/>
            <w:gridSpan w:val="3"/>
            <w:tcBorders>
              <w:top w:val="double" w:sz="4" w:space="0" w:color="auto"/>
              <w:bottom w:val="double" w:sz="4" w:space="0" w:color="auto"/>
            </w:tcBorders>
            <w:shd w:val="clear" w:color="auto" w:fill="FFFFFF"/>
            <w:tcMar>
              <w:left w:w="72" w:type="dxa"/>
              <w:right w:w="72" w:type="dxa"/>
            </w:tcMar>
          </w:tcPr>
          <w:p w:rsidR="00E83D4D" w:rsidRPr="009533A2" w:rsidRDefault="00E83D4D" w:rsidP="00BF3993">
            <w:pPr>
              <w:spacing w:after="0" w:line="240" w:lineRule="auto"/>
              <w:jc w:val="right"/>
              <w:rPr>
                <w:color w:val="auto"/>
                <w:sz w:val="20"/>
                <w:szCs w:val="20"/>
              </w:rPr>
            </w:pPr>
            <w:r w:rsidRPr="009533A2">
              <w:rPr>
                <w:rFonts w:ascii="Times New Roman" w:hAnsi="Times New Roman" w:cs="Times New Roman"/>
                <w:color w:val="auto"/>
                <w:sz w:val="20"/>
                <w:szCs w:val="20"/>
              </w:rPr>
              <w:t>Total Project Costs</w:t>
            </w:r>
          </w:p>
        </w:tc>
        <w:tc>
          <w:tcPr>
            <w:tcW w:w="1907" w:type="pct"/>
            <w:tcBorders>
              <w:top w:val="double" w:sz="4" w:space="0" w:color="auto"/>
              <w:bottom w:val="double" w:sz="4" w:space="0" w:color="auto"/>
            </w:tcBorders>
            <w:shd w:val="clear" w:color="auto" w:fill="FFFFFF"/>
            <w:tcMar>
              <w:left w:w="72" w:type="dxa"/>
              <w:right w:w="72" w:type="dxa"/>
            </w:tcMar>
          </w:tcPr>
          <w:p w:rsidR="00E83D4D" w:rsidRPr="009533A2" w:rsidRDefault="00E83D4D" w:rsidP="00BF3993">
            <w:pPr>
              <w:spacing w:after="0" w:line="240" w:lineRule="auto"/>
              <w:rPr>
                <w:color w:val="auto"/>
                <w:sz w:val="20"/>
                <w:szCs w:val="20"/>
              </w:rPr>
            </w:pPr>
          </w:p>
        </w:tc>
        <w:tc>
          <w:tcPr>
            <w:tcW w:w="324" w:type="pct"/>
            <w:tcBorders>
              <w:top w:val="double" w:sz="4" w:space="0" w:color="auto"/>
              <w:bottom w:val="double" w:sz="4" w:space="0" w:color="auto"/>
            </w:tcBorders>
            <w:shd w:val="clear" w:color="auto" w:fill="FFFFFF"/>
            <w:tcMar>
              <w:left w:w="72" w:type="dxa"/>
              <w:right w:w="72" w:type="dxa"/>
            </w:tcMar>
          </w:tcPr>
          <w:p w:rsidR="00E83D4D" w:rsidRPr="009533A2" w:rsidRDefault="00E83D4D" w:rsidP="00BF3993">
            <w:pPr>
              <w:spacing w:after="0" w:line="240" w:lineRule="auto"/>
              <w:rPr>
                <w:rFonts w:ascii="Times New Roman" w:hAnsi="Times New Roman" w:cs="Times New Roman"/>
                <w:color w:val="auto"/>
                <w:sz w:val="20"/>
                <w:szCs w:val="20"/>
              </w:rPr>
            </w:pPr>
          </w:p>
        </w:tc>
        <w:tc>
          <w:tcPr>
            <w:tcW w:w="447" w:type="pct"/>
            <w:tcBorders>
              <w:top w:val="double" w:sz="4" w:space="0" w:color="auto"/>
              <w:bottom w:val="double" w:sz="4" w:space="0" w:color="auto"/>
            </w:tcBorders>
            <w:shd w:val="clear" w:color="auto" w:fill="FFFFFF"/>
            <w:tcMar>
              <w:left w:w="72" w:type="dxa"/>
              <w:right w:w="72" w:type="dxa"/>
            </w:tcMar>
          </w:tcPr>
          <w:p w:rsidR="00E83D4D" w:rsidRPr="009533A2" w:rsidRDefault="00E83D4D" w:rsidP="00E176D7">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2,977,169</w:t>
            </w:r>
          </w:p>
        </w:tc>
        <w:tc>
          <w:tcPr>
            <w:tcW w:w="448" w:type="pct"/>
            <w:tcBorders>
              <w:top w:val="double" w:sz="4" w:space="0" w:color="auto"/>
              <w:bottom w:val="double" w:sz="4" w:space="0" w:color="auto"/>
            </w:tcBorders>
            <w:shd w:val="clear" w:color="auto" w:fill="FFFFFF"/>
            <w:tcMar>
              <w:left w:w="14" w:type="dxa"/>
              <w:right w:w="14" w:type="dxa"/>
            </w:tcMar>
          </w:tcPr>
          <w:p w:rsidR="00E83D4D" w:rsidRPr="009533A2" w:rsidRDefault="002A6112" w:rsidP="00E176D7">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13,950,000</w:t>
            </w:r>
          </w:p>
        </w:tc>
      </w:tr>
    </w:tbl>
    <w:p w:rsidR="00E83D4D" w:rsidRPr="009533A2" w:rsidRDefault="00E83D4D" w:rsidP="00A27CA1">
      <w:pPr>
        <w:pStyle w:val="Footer"/>
        <w:numPr>
          <w:ilvl w:val="0"/>
          <w:numId w:val="23"/>
        </w:numPr>
        <w:tabs>
          <w:tab w:val="clear" w:pos="4320"/>
          <w:tab w:val="clear" w:pos="8640"/>
        </w:tabs>
        <w:spacing w:before="240" w:after="120"/>
        <w:ind w:left="1440" w:hanging="1440"/>
        <w:rPr>
          <w:b/>
          <w:smallCaps/>
        </w:rPr>
      </w:pPr>
      <w:r w:rsidRPr="009533A2">
        <w:rPr>
          <w:b/>
          <w:smallCaps/>
        </w:rPr>
        <w:t xml:space="preserve">Indicative </w:t>
      </w:r>
      <w:hyperlink r:id="rId12" w:history="1">
        <w:r w:rsidRPr="009533A2">
          <w:rPr>
            <w:b/>
            <w:smallCaps/>
          </w:rPr>
          <w:t>Co-financing</w:t>
        </w:r>
      </w:hyperlink>
      <w:r w:rsidRPr="009533A2">
        <w:rPr>
          <w:b/>
          <w:smallCaps/>
        </w:rPr>
        <w:t xml:space="preserve"> for the project by source and by name if available,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3915"/>
        <w:gridCol w:w="3434"/>
        <w:gridCol w:w="2452"/>
        <w:gridCol w:w="1488"/>
      </w:tblGrid>
      <w:tr w:rsidR="00E83D4D" w:rsidRPr="009533A2" w:rsidTr="00735E52">
        <w:trPr>
          <w:cantSplit/>
        </w:trPr>
        <w:tc>
          <w:tcPr>
            <w:tcW w:w="1734" w:type="pct"/>
            <w:vAlign w:val="center"/>
          </w:tcPr>
          <w:p w:rsidR="00E83D4D" w:rsidRPr="009533A2" w:rsidRDefault="00E83D4D" w:rsidP="00D86910">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Sources of Cofinancing</w:t>
            </w:r>
          </w:p>
        </w:tc>
        <w:tc>
          <w:tcPr>
            <w:tcW w:w="1521" w:type="pct"/>
            <w:vAlign w:val="center"/>
          </w:tcPr>
          <w:p w:rsidR="00E83D4D" w:rsidRPr="009533A2" w:rsidRDefault="00E83D4D" w:rsidP="00D86910">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Name of Cofinancier</w:t>
            </w:r>
          </w:p>
        </w:tc>
        <w:tc>
          <w:tcPr>
            <w:tcW w:w="1086" w:type="pct"/>
            <w:vAlign w:val="center"/>
          </w:tcPr>
          <w:p w:rsidR="00E83D4D" w:rsidRPr="009533A2" w:rsidRDefault="00E83D4D" w:rsidP="00D86910">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Type of Cofinancing</w:t>
            </w:r>
          </w:p>
        </w:tc>
        <w:tc>
          <w:tcPr>
            <w:tcW w:w="659" w:type="pct"/>
            <w:vAlign w:val="center"/>
          </w:tcPr>
          <w:p w:rsidR="00E83D4D" w:rsidRPr="009533A2" w:rsidRDefault="00E83D4D" w:rsidP="00D86910">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Amount ($)</w:t>
            </w:r>
          </w:p>
        </w:tc>
      </w:tr>
      <w:tr w:rsidR="00E83D4D" w:rsidRPr="009533A2" w:rsidTr="00735E52">
        <w:trPr>
          <w:cantSplit/>
        </w:trPr>
        <w:tc>
          <w:tcPr>
            <w:tcW w:w="1734"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National Government</w:t>
            </w:r>
          </w:p>
        </w:tc>
        <w:tc>
          <w:tcPr>
            <w:tcW w:w="1521"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Ministry of Nature Protection</w:t>
            </w:r>
          </w:p>
        </w:tc>
        <w:tc>
          <w:tcPr>
            <w:tcW w:w="1086" w:type="pct"/>
          </w:tcPr>
          <w:p w:rsidR="00E83D4D" w:rsidRPr="009533A2" w:rsidRDefault="00E83D4D" w:rsidP="00D86910">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In-kind</w:t>
            </w:r>
          </w:p>
        </w:tc>
        <w:tc>
          <w:tcPr>
            <w:tcW w:w="659" w:type="pct"/>
          </w:tcPr>
          <w:p w:rsidR="00E83D4D" w:rsidRPr="009533A2" w:rsidRDefault="00E83D4D" w:rsidP="00D86910">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6,055,000</w:t>
            </w:r>
          </w:p>
        </w:tc>
      </w:tr>
      <w:tr w:rsidR="00E83D4D" w:rsidRPr="009533A2" w:rsidTr="00735E52">
        <w:trPr>
          <w:cantSplit/>
        </w:trPr>
        <w:tc>
          <w:tcPr>
            <w:tcW w:w="1734"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National Government</w:t>
            </w:r>
          </w:p>
        </w:tc>
        <w:tc>
          <w:tcPr>
            <w:tcW w:w="1521"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Ministry of Nature Protection</w:t>
            </w:r>
          </w:p>
        </w:tc>
        <w:tc>
          <w:tcPr>
            <w:tcW w:w="1086" w:type="pct"/>
          </w:tcPr>
          <w:p w:rsidR="00E83D4D" w:rsidRPr="009533A2" w:rsidRDefault="00337C6E" w:rsidP="00D86910">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Cash</w:t>
            </w:r>
          </w:p>
        </w:tc>
        <w:tc>
          <w:tcPr>
            <w:tcW w:w="659" w:type="pct"/>
          </w:tcPr>
          <w:p w:rsidR="00E83D4D" w:rsidRPr="009533A2" w:rsidRDefault="00E83D4D" w:rsidP="00D86910">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2,595,000</w:t>
            </w:r>
          </w:p>
        </w:tc>
      </w:tr>
      <w:tr w:rsidR="00E83D4D" w:rsidRPr="009533A2" w:rsidTr="00735E52">
        <w:trPr>
          <w:cantSplit/>
        </w:trPr>
        <w:tc>
          <w:tcPr>
            <w:tcW w:w="1734"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National Government</w:t>
            </w:r>
          </w:p>
        </w:tc>
        <w:tc>
          <w:tcPr>
            <w:tcW w:w="1521" w:type="pct"/>
          </w:tcPr>
          <w:p w:rsidR="00E83D4D" w:rsidRPr="009533A2" w:rsidRDefault="00E83D4D" w:rsidP="008E5B89">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Ministry of Agriculture</w:t>
            </w:r>
          </w:p>
        </w:tc>
        <w:tc>
          <w:tcPr>
            <w:tcW w:w="1086" w:type="pct"/>
          </w:tcPr>
          <w:p w:rsidR="00E83D4D" w:rsidRPr="009533A2" w:rsidRDefault="00E83D4D" w:rsidP="00D86910">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In-kind</w:t>
            </w:r>
          </w:p>
        </w:tc>
        <w:tc>
          <w:tcPr>
            <w:tcW w:w="659" w:type="pct"/>
          </w:tcPr>
          <w:p w:rsidR="00E83D4D" w:rsidRPr="009533A2" w:rsidRDefault="00E83D4D" w:rsidP="00D86910">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1,400,000</w:t>
            </w:r>
          </w:p>
        </w:tc>
      </w:tr>
      <w:tr w:rsidR="00E83D4D" w:rsidRPr="009533A2" w:rsidTr="00735E52">
        <w:trPr>
          <w:cantSplit/>
        </w:trPr>
        <w:tc>
          <w:tcPr>
            <w:tcW w:w="1734"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National Government</w:t>
            </w:r>
          </w:p>
        </w:tc>
        <w:tc>
          <w:tcPr>
            <w:tcW w:w="1521"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Hayantor SNCO</w:t>
            </w:r>
          </w:p>
        </w:tc>
        <w:tc>
          <w:tcPr>
            <w:tcW w:w="1086" w:type="pct"/>
          </w:tcPr>
          <w:p w:rsidR="00E83D4D" w:rsidRPr="009533A2" w:rsidRDefault="00337C6E" w:rsidP="00D86910">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Cash</w:t>
            </w:r>
          </w:p>
        </w:tc>
        <w:tc>
          <w:tcPr>
            <w:tcW w:w="659" w:type="pct"/>
          </w:tcPr>
          <w:p w:rsidR="00E83D4D" w:rsidRPr="009533A2" w:rsidRDefault="00E83D4D" w:rsidP="00D86910">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2,500,000</w:t>
            </w:r>
          </w:p>
        </w:tc>
      </w:tr>
      <w:tr w:rsidR="00E83D4D" w:rsidRPr="009533A2" w:rsidTr="00735E52">
        <w:trPr>
          <w:cantSplit/>
        </w:trPr>
        <w:tc>
          <w:tcPr>
            <w:tcW w:w="1734"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 Agency</w:t>
            </w:r>
          </w:p>
        </w:tc>
        <w:tc>
          <w:tcPr>
            <w:tcW w:w="1521"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1086" w:type="pct"/>
          </w:tcPr>
          <w:p w:rsidR="00E83D4D" w:rsidRPr="009533A2" w:rsidRDefault="00337C6E" w:rsidP="00D86910">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Cash</w:t>
            </w:r>
          </w:p>
        </w:tc>
        <w:tc>
          <w:tcPr>
            <w:tcW w:w="659" w:type="pct"/>
          </w:tcPr>
          <w:p w:rsidR="00E83D4D" w:rsidRPr="009533A2" w:rsidRDefault="00E83D4D" w:rsidP="008E5B89">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180,000</w:t>
            </w:r>
          </w:p>
        </w:tc>
      </w:tr>
      <w:tr w:rsidR="00E83D4D" w:rsidRPr="009533A2" w:rsidTr="00735E52">
        <w:trPr>
          <w:cantSplit/>
        </w:trPr>
        <w:tc>
          <w:tcPr>
            <w:tcW w:w="1734"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 Agency</w:t>
            </w:r>
          </w:p>
        </w:tc>
        <w:tc>
          <w:tcPr>
            <w:tcW w:w="1521"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1086" w:type="pct"/>
          </w:tcPr>
          <w:p w:rsidR="00E83D4D" w:rsidRPr="009533A2" w:rsidRDefault="00E83D4D" w:rsidP="00D86910">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In-kind</w:t>
            </w:r>
          </w:p>
        </w:tc>
        <w:tc>
          <w:tcPr>
            <w:tcW w:w="659" w:type="pct"/>
          </w:tcPr>
          <w:p w:rsidR="00E83D4D" w:rsidRPr="009533A2" w:rsidRDefault="00E83D4D" w:rsidP="00D86910">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720,000</w:t>
            </w:r>
          </w:p>
        </w:tc>
      </w:tr>
      <w:tr w:rsidR="00E83D4D" w:rsidRPr="009533A2" w:rsidTr="00735E52">
        <w:trPr>
          <w:cantSplit/>
        </w:trPr>
        <w:tc>
          <w:tcPr>
            <w:tcW w:w="1734"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Local Government</w:t>
            </w:r>
          </w:p>
        </w:tc>
        <w:tc>
          <w:tcPr>
            <w:tcW w:w="1521" w:type="pct"/>
          </w:tcPr>
          <w:p w:rsidR="00E83D4D" w:rsidRPr="009533A2" w:rsidRDefault="00E83D4D" w:rsidP="00B906CC">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LSG</w:t>
            </w:r>
          </w:p>
        </w:tc>
        <w:tc>
          <w:tcPr>
            <w:tcW w:w="1086" w:type="pct"/>
          </w:tcPr>
          <w:p w:rsidR="00E83D4D" w:rsidRPr="009533A2" w:rsidRDefault="00E83D4D" w:rsidP="00D86910">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In-kind</w:t>
            </w:r>
          </w:p>
        </w:tc>
        <w:tc>
          <w:tcPr>
            <w:tcW w:w="659" w:type="pct"/>
          </w:tcPr>
          <w:p w:rsidR="00E83D4D" w:rsidRPr="009533A2" w:rsidRDefault="00E83D4D" w:rsidP="00D86910">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500,000</w:t>
            </w:r>
          </w:p>
        </w:tc>
      </w:tr>
      <w:tr w:rsidR="00E83D4D" w:rsidRPr="009533A2" w:rsidTr="00735E52">
        <w:trPr>
          <w:cantSplit/>
        </w:trPr>
        <w:tc>
          <w:tcPr>
            <w:tcW w:w="1734" w:type="pct"/>
            <w:tcBorders>
              <w:top w:val="double" w:sz="4" w:space="0" w:color="auto"/>
              <w:bottom w:val="double" w:sz="4" w:space="0" w:color="auto"/>
            </w:tcBorders>
          </w:tcPr>
          <w:p w:rsidR="00E83D4D" w:rsidRPr="009533A2" w:rsidRDefault="00E83D4D" w:rsidP="00D86910">
            <w:pPr>
              <w:spacing w:after="0" w:line="240" w:lineRule="auto"/>
              <w:rPr>
                <w:rFonts w:ascii="Times New Roman" w:hAnsi="Times New Roman" w:cs="Times New Roman"/>
                <w:b/>
                <w:color w:val="auto"/>
                <w:sz w:val="20"/>
                <w:szCs w:val="20"/>
              </w:rPr>
            </w:pPr>
            <w:r w:rsidRPr="009533A2">
              <w:rPr>
                <w:rFonts w:ascii="Times New Roman" w:hAnsi="Times New Roman" w:cs="Times New Roman"/>
                <w:b/>
                <w:color w:val="auto"/>
                <w:sz w:val="20"/>
                <w:szCs w:val="20"/>
              </w:rPr>
              <w:t>Total Cofinancing</w:t>
            </w:r>
          </w:p>
        </w:tc>
        <w:tc>
          <w:tcPr>
            <w:tcW w:w="1521" w:type="pct"/>
            <w:tcBorders>
              <w:top w:val="double" w:sz="4" w:space="0" w:color="auto"/>
              <w:bottom w:val="double" w:sz="4" w:space="0" w:color="auto"/>
            </w:tcBorders>
            <w:shd w:val="clear" w:color="auto" w:fill="CCCCCC"/>
          </w:tcPr>
          <w:p w:rsidR="00E83D4D" w:rsidRPr="009533A2" w:rsidRDefault="00E83D4D" w:rsidP="00D86910">
            <w:pPr>
              <w:spacing w:after="0" w:line="240" w:lineRule="auto"/>
              <w:rPr>
                <w:rFonts w:ascii="Times New Roman" w:hAnsi="Times New Roman" w:cs="Times New Roman"/>
                <w:color w:val="auto"/>
                <w:sz w:val="20"/>
                <w:szCs w:val="20"/>
              </w:rPr>
            </w:pPr>
          </w:p>
        </w:tc>
        <w:tc>
          <w:tcPr>
            <w:tcW w:w="1086" w:type="pct"/>
            <w:tcBorders>
              <w:top w:val="double" w:sz="4" w:space="0" w:color="auto"/>
              <w:bottom w:val="double" w:sz="4" w:space="0" w:color="auto"/>
            </w:tcBorders>
            <w:shd w:val="clear" w:color="auto" w:fill="CCCCCC"/>
          </w:tcPr>
          <w:p w:rsidR="00E83D4D" w:rsidRPr="009533A2" w:rsidRDefault="00E83D4D" w:rsidP="00D86910">
            <w:pPr>
              <w:spacing w:after="0" w:line="240" w:lineRule="auto"/>
              <w:rPr>
                <w:rFonts w:ascii="Times New Roman" w:hAnsi="Times New Roman" w:cs="Times New Roman"/>
                <w:color w:val="auto"/>
                <w:sz w:val="20"/>
                <w:szCs w:val="20"/>
              </w:rPr>
            </w:pPr>
          </w:p>
        </w:tc>
        <w:tc>
          <w:tcPr>
            <w:tcW w:w="659" w:type="pct"/>
            <w:tcBorders>
              <w:top w:val="double" w:sz="4" w:space="0" w:color="auto"/>
              <w:bottom w:val="double" w:sz="4" w:space="0" w:color="auto"/>
            </w:tcBorders>
          </w:tcPr>
          <w:p w:rsidR="00E83D4D" w:rsidRPr="009533A2" w:rsidRDefault="00C03E30" w:rsidP="00C03E30">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13,950,000</w:t>
            </w:r>
          </w:p>
        </w:tc>
      </w:tr>
    </w:tbl>
    <w:p w:rsidR="00E83D4D" w:rsidRPr="009533A2" w:rsidRDefault="00E83D4D" w:rsidP="00A27CA1">
      <w:pPr>
        <w:pStyle w:val="Footer"/>
        <w:numPr>
          <w:ilvl w:val="0"/>
          <w:numId w:val="23"/>
        </w:numPr>
        <w:tabs>
          <w:tab w:val="clear" w:pos="4320"/>
          <w:tab w:val="clear" w:pos="8640"/>
        </w:tabs>
        <w:spacing w:before="240" w:after="120"/>
        <w:ind w:left="0" w:firstLine="0"/>
        <w:rPr>
          <w:b/>
          <w:smallCaps/>
          <w:sz w:val="22"/>
          <w:szCs w:val="22"/>
        </w:rPr>
      </w:pPr>
      <w:r w:rsidRPr="009533A2">
        <w:rPr>
          <w:b/>
          <w:smallCaps/>
          <w:sz w:val="22"/>
          <w:szCs w:val="22"/>
        </w:rPr>
        <w:t xml:space="preserve">indicative trust fund  Resources </w:t>
      </w:r>
      <w:r w:rsidRPr="009533A2">
        <w:rPr>
          <w:b/>
          <w:smallCaps/>
        </w:rPr>
        <w:t xml:space="preserve">($) </w:t>
      </w:r>
      <w:r w:rsidRPr="009533A2">
        <w:rPr>
          <w:b/>
          <w:smallCaps/>
          <w:sz w:val="22"/>
          <w:szCs w:val="22"/>
        </w:rPr>
        <w:t>Requested by Agency, Focal Area and Country</w:t>
      </w:r>
      <w:r w:rsidRPr="009533A2">
        <w:rPr>
          <w:rStyle w:val="FootnoteReference"/>
          <w:b/>
          <w:bCs/>
          <w:caps/>
          <w:color w:val="000000"/>
          <w:sz w:val="22"/>
          <w:szCs w:val="22"/>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1"/>
        <w:gridCol w:w="1565"/>
        <w:gridCol w:w="2309"/>
        <w:gridCol w:w="1829"/>
        <w:gridCol w:w="1324"/>
        <w:gridCol w:w="1491"/>
        <w:gridCol w:w="1486"/>
      </w:tblGrid>
      <w:tr w:rsidR="00E83D4D" w:rsidRPr="009533A2" w:rsidTr="00A27CA1">
        <w:trPr>
          <w:trHeight w:val="260"/>
        </w:trPr>
        <w:tc>
          <w:tcPr>
            <w:tcW w:w="564" w:type="pct"/>
            <w:vAlign w:val="center"/>
          </w:tcPr>
          <w:p w:rsidR="00E83D4D" w:rsidRPr="009533A2" w:rsidRDefault="00E83D4D" w:rsidP="00B13701">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GEF Agency</w:t>
            </w:r>
          </w:p>
        </w:tc>
        <w:tc>
          <w:tcPr>
            <w:tcW w:w="694" w:type="pct"/>
            <w:vAlign w:val="center"/>
          </w:tcPr>
          <w:p w:rsidR="00E83D4D" w:rsidRPr="009533A2" w:rsidRDefault="00E83D4D" w:rsidP="00B13701">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Type of Trust Fund</w:t>
            </w:r>
          </w:p>
        </w:tc>
        <w:tc>
          <w:tcPr>
            <w:tcW w:w="1024" w:type="pct"/>
            <w:vAlign w:val="center"/>
          </w:tcPr>
          <w:p w:rsidR="00E83D4D" w:rsidRPr="009533A2" w:rsidRDefault="00E83D4D" w:rsidP="00B13701">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Focal Area</w:t>
            </w:r>
          </w:p>
        </w:tc>
        <w:tc>
          <w:tcPr>
            <w:tcW w:w="811" w:type="pct"/>
            <w:vAlign w:val="center"/>
          </w:tcPr>
          <w:p w:rsidR="00E83D4D" w:rsidRPr="009533A2" w:rsidRDefault="00E83D4D" w:rsidP="00B13701">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Country Name/Global</w:t>
            </w:r>
          </w:p>
        </w:tc>
        <w:tc>
          <w:tcPr>
            <w:tcW w:w="587" w:type="pct"/>
            <w:vAlign w:val="center"/>
          </w:tcPr>
          <w:p w:rsidR="00E83D4D" w:rsidRPr="009533A2" w:rsidRDefault="00E83D4D" w:rsidP="00B13701">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 xml:space="preserve">Grant Amount </w:t>
            </w:r>
            <w:r w:rsidRPr="009533A2">
              <w:rPr>
                <w:rFonts w:ascii="Times New Roman" w:hAnsi="Times New Roman" w:cs="Times New Roman"/>
                <w:b/>
                <w:smallCaps/>
                <w:color w:val="auto"/>
                <w:sz w:val="20"/>
                <w:szCs w:val="20"/>
              </w:rPr>
              <w:t>($)</w:t>
            </w:r>
            <w:r w:rsidRPr="009533A2">
              <w:rPr>
                <w:rFonts w:ascii="Times New Roman" w:hAnsi="Times New Roman" w:cs="Times New Roman"/>
                <w:b/>
                <w:color w:val="auto"/>
                <w:sz w:val="20"/>
                <w:szCs w:val="20"/>
              </w:rPr>
              <w:t xml:space="preserve"> (a)</w:t>
            </w:r>
          </w:p>
        </w:tc>
        <w:tc>
          <w:tcPr>
            <w:tcW w:w="661" w:type="pct"/>
            <w:vAlign w:val="center"/>
          </w:tcPr>
          <w:p w:rsidR="00E83D4D" w:rsidRPr="009533A2" w:rsidRDefault="00E83D4D" w:rsidP="00B13701">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 xml:space="preserve">Agency Fee </w:t>
            </w:r>
            <w:r w:rsidRPr="009533A2">
              <w:rPr>
                <w:rFonts w:ascii="Times New Roman" w:hAnsi="Times New Roman" w:cs="Times New Roman"/>
                <w:b/>
                <w:smallCaps/>
                <w:color w:val="auto"/>
                <w:sz w:val="20"/>
                <w:szCs w:val="20"/>
              </w:rPr>
              <w:t>($)</w:t>
            </w:r>
            <w:r w:rsidRPr="009533A2">
              <w:rPr>
                <w:rFonts w:ascii="Times New Roman" w:hAnsi="Times New Roman" w:cs="Times New Roman"/>
                <w:b/>
                <w:color w:val="auto"/>
                <w:sz w:val="20"/>
                <w:szCs w:val="20"/>
              </w:rPr>
              <w:t xml:space="preserve"> (b)</w:t>
            </w:r>
            <w:r w:rsidRPr="009533A2">
              <w:rPr>
                <w:rFonts w:ascii="Times New Roman" w:hAnsi="Times New Roman" w:cs="Times New Roman"/>
                <w:b/>
                <w:color w:val="auto"/>
                <w:sz w:val="20"/>
                <w:szCs w:val="20"/>
                <w:vertAlign w:val="superscript"/>
              </w:rPr>
              <w:t>2</w:t>
            </w:r>
          </w:p>
        </w:tc>
        <w:tc>
          <w:tcPr>
            <w:tcW w:w="659" w:type="pct"/>
            <w:vAlign w:val="center"/>
          </w:tcPr>
          <w:p w:rsidR="00E83D4D" w:rsidRPr="009533A2" w:rsidRDefault="00E83D4D" w:rsidP="00B13701">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 xml:space="preserve">Total </w:t>
            </w:r>
            <w:r w:rsidRPr="009533A2">
              <w:rPr>
                <w:rFonts w:ascii="Times New Roman" w:hAnsi="Times New Roman" w:cs="Times New Roman"/>
                <w:b/>
                <w:smallCaps/>
                <w:color w:val="auto"/>
                <w:sz w:val="20"/>
                <w:szCs w:val="20"/>
              </w:rPr>
              <w:t xml:space="preserve">($) </w:t>
            </w:r>
            <w:r w:rsidRPr="009533A2">
              <w:rPr>
                <w:rFonts w:ascii="Times New Roman" w:hAnsi="Times New Roman" w:cs="Times New Roman"/>
                <w:b/>
                <w:color w:val="auto"/>
                <w:sz w:val="20"/>
                <w:szCs w:val="20"/>
              </w:rPr>
              <w:t>c=a+b</w:t>
            </w:r>
          </w:p>
        </w:tc>
      </w:tr>
      <w:tr w:rsidR="00E83D4D" w:rsidRPr="009533A2" w:rsidTr="00A27CA1">
        <w:trPr>
          <w:trHeight w:val="253"/>
        </w:trPr>
        <w:tc>
          <w:tcPr>
            <w:tcW w:w="564" w:type="pct"/>
          </w:tcPr>
          <w:p w:rsidR="00E83D4D" w:rsidRPr="009533A2" w:rsidRDefault="00E83D4D" w:rsidP="00B13701">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694" w:type="pct"/>
          </w:tcPr>
          <w:p w:rsidR="00E83D4D" w:rsidRPr="009533A2" w:rsidRDefault="00E83D4D" w:rsidP="00B13701">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GEFTF</w:t>
            </w:r>
          </w:p>
        </w:tc>
        <w:tc>
          <w:tcPr>
            <w:tcW w:w="1024" w:type="pct"/>
          </w:tcPr>
          <w:p w:rsidR="00E83D4D" w:rsidRPr="009533A2" w:rsidRDefault="00E83D4D" w:rsidP="00B13701">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Biodiversity</w:t>
            </w:r>
          </w:p>
        </w:tc>
        <w:tc>
          <w:tcPr>
            <w:tcW w:w="811" w:type="pct"/>
          </w:tcPr>
          <w:p w:rsidR="00E83D4D" w:rsidRPr="009533A2" w:rsidRDefault="00E83D4D" w:rsidP="00B13701">
            <w:pPr>
              <w:spacing w:after="0" w:line="240" w:lineRule="auto"/>
              <w:rPr>
                <w:rFonts w:ascii="Times New Roman" w:hAnsi="Times New Roman" w:cs="Times New Roman"/>
                <w:color w:val="auto"/>
                <w:sz w:val="20"/>
                <w:szCs w:val="20"/>
              </w:rPr>
            </w:pPr>
            <w:smartTag w:uri="urn:schemas-microsoft-com:office:smarttags" w:element="place">
              <w:smartTag w:uri="urn:schemas-microsoft-com:office:smarttags" w:element="country-region">
                <w:r w:rsidRPr="009533A2">
                  <w:rPr>
                    <w:rFonts w:ascii="Times New Roman" w:hAnsi="Times New Roman" w:cs="Times New Roman"/>
                    <w:color w:val="auto"/>
                    <w:sz w:val="20"/>
                    <w:szCs w:val="20"/>
                  </w:rPr>
                  <w:t>Armenia</w:t>
                </w:r>
              </w:smartTag>
            </w:smartTag>
          </w:p>
        </w:tc>
        <w:tc>
          <w:tcPr>
            <w:tcW w:w="587" w:type="pct"/>
          </w:tcPr>
          <w:p w:rsidR="00E83D4D" w:rsidRPr="009533A2" w:rsidRDefault="00E83D4D" w:rsidP="00B1370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456,621</w:t>
            </w:r>
          </w:p>
        </w:tc>
        <w:tc>
          <w:tcPr>
            <w:tcW w:w="661" w:type="pct"/>
          </w:tcPr>
          <w:p w:rsidR="00E83D4D" w:rsidRPr="009533A2" w:rsidRDefault="00E83D4D" w:rsidP="00B1370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43,379</w:t>
            </w:r>
          </w:p>
        </w:tc>
        <w:tc>
          <w:tcPr>
            <w:tcW w:w="659" w:type="pct"/>
          </w:tcPr>
          <w:p w:rsidR="00E83D4D" w:rsidRPr="009533A2" w:rsidRDefault="00E83D4D" w:rsidP="00B1370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500,000</w:t>
            </w:r>
          </w:p>
        </w:tc>
      </w:tr>
      <w:tr w:rsidR="00E83D4D" w:rsidRPr="009533A2" w:rsidTr="00A27CA1">
        <w:trPr>
          <w:trHeight w:val="253"/>
        </w:trPr>
        <w:tc>
          <w:tcPr>
            <w:tcW w:w="56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69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GEFTF</w:t>
            </w:r>
          </w:p>
        </w:tc>
        <w:tc>
          <w:tcPr>
            <w:tcW w:w="102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Land Degradation</w:t>
            </w:r>
          </w:p>
        </w:tc>
        <w:tc>
          <w:tcPr>
            <w:tcW w:w="811" w:type="pct"/>
          </w:tcPr>
          <w:p w:rsidR="00E83D4D" w:rsidRPr="009533A2" w:rsidRDefault="00E83D4D" w:rsidP="009A3953">
            <w:pPr>
              <w:spacing w:after="0" w:line="240" w:lineRule="auto"/>
              <w:rPr>
                <w:rFonts w:ascii="Times New Roman" w:hAnsi="Times New Roman" w:cs="Times New Roman"/>
                <w:color w:val="auto"/>
                <w:sz w:val="20"/>
                <w:szCs w:val="20"/>
              </w:rPr>
            </w:pPr>
            <w:smartTag w:uri="urn:schemas-microsoft-com:office:smarttags" w:element="place">
              <w:smartTag w:uri="urn:schemas-microsoft-com:office:smarttags" w:element="country-region">
                <w:r w:rsidRPr="009533A2">
                  <w:rPr>
                    <w:rFonts w:ascii="Times New Roman" w:hAnsi="Times New Roman" w:cs="Times New Roman"/>
                    <w:color w:val="auto"/>
                    <w:sz w:val="20"/>
                    <w:szCs w:val="20"/>
                  </w:rPr>
                  <w:t>Armenia</w:t>
                </w:r>
              </w:smartTag>
            </w:smartTag>
          </w:p>
        </w:tc>
        <w:tc>
          <w:tcPr>
            <w:tcW w:w="587"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1,502,283</w:t>
            </w:r>
          </w:p>
        </w:tc>
        <w:tc>
          <w:tcPr>
            <w:tcW w:w="661"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142,717</w:t>
            </w:r>
          </w:p>
        </w:tc>
        <w:tc>
          <w:tcPr>
            <w:tcW w:w="659"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1,645,000</w:t>
            </w:r>
          </w:p>
        </w:tc>
      </w:tr>
      <w:tr w:rsidR="00E83D4D" w:rsidRPr="009533A2" w:rsidTr="00A27CA1">
        <w:trPr>
          <w:trHeight w:val="253"/>
        </w:trPr>
        <w:tc>
          <w:tcPr>
            <w:tcW w:w="56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69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GEFTF</w:t>
            </w:r>
          </w:p>
        </w:tc>
        <w:tc>
          <w:tcPr>
            <w:tcW w:w="102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Climate Change</w:t>
            </w:r>
          </w:p>
        </w:tc>
        <w:tc>
          <w:tcPr>
            <w:tcW w:w="811" w:type="pct"/>
          </w:tcPr>
          <w:p w:rsidR="00E83D4D" w:rsidRPr="009533A2" w:rsidRDefault="00E83D4D" w:rsidP="009A3953">
            <w:pPr>
              <w:spacing w:after="0" w:line="240" w:lineRule="auto"/>
              <w:rPr>
                <w:rFonts w:ascii="Times New Roman" w:hAnsi="Times New Roman" w:cs="Times New Roman"/>
                <w:color w:val="auto"/>
                <w:sz w:val="20"/>
                <w:szCs w:val="20"/>
              </w:rPr>
            </w:pPr>
            <w:smartTag w:uri="urn:schemas-microsoft-com:office:smarttags" w:element="place">
              <w:smartTag w:uri="urn:schemas-microsoft-com:office:smarttags" w:element="country-region">
                <w:r w:rsidRPr="009533A2">
                  <w:rPr>
                    <w:rFonts w:ascii="Times New Roman" w:hAnsi="Times New Roman" w:cs="Times New Roman"/>
                    <w:color w:val="auto"/>
                    <w:sz w:val="20"/>
                    <w:szCs w:val="20"/>
                  </w:rPr>
                  <w:t>Armenia</w:t>
                </w:r>
              </w:smartTag>
            </w:smartTag>
          </w:p>
        </w:tc>
        <w:tc>
          <w:tcPr>
            <w:tcW w:w="587"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273,973</w:t>
            </w:r>
          </w:p>
        </w:tc>
        <w:tc>
          <w:tcPr>
            <w:tcW w:w="661"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26,027</w:t>
            </w:r>
          </w:p>
        </w:tc>
        <w:tc>
          <w:tcPr>
            <w:tcW w:w="659"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300,000</w:t>
            </w:r>
          </w:p>
        </w:tc>
      </w:tr>
      <w:tr w:rsidR="00E83D4D" w:rsidRPr="009533A2" w:rsidTr="00A27CA1">
        <w:trPr>
          <w:trHeight w:val="253"/>
        </w:trPr>
        <w:tc>
          <w:tcPr>
            <w:tcW w:w="56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lastRenderedPageBreak/>
              <w:t>UNDP</w:t>
            </w:r>
          </w:p>
        </w:tc>
        <w:tc>
          <w:tcPr>
            <w:tcW w:w="69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GEFTF</w:t>
            </w:r>
          </w:p>
        </w:tc>
        <w:tc>
          <w:tcPr>
            <w:tcW w:w="1024" w:type="pct"/>
          </w:tcPr>
          <w:p w:rsidR="00E83D4D" w:rsidRPr="009533A2" w:rsidRDefault="00E83D4D"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SFM/REDD</w:t>
            </w:r>
          </w:p>
        </w:tc>
        <w:tc>
          <w:tcPr>
            <w:tcW w:w="811" w:type="pct"/>
          </w:tcPr>
          <w:p w:rsidR="00E83D4D" w:rsidRPr="009533A2" w:rsidRDefault="00E83D4D" w:rsidP="009A3953">
            <w:pPr>
              <w:spacing w:after="0" w:line="240" w:lineRule="auto"/>
              <w:rPr>
                <w:rFonts w:ascii="Times New Roman" w:hAnsi="Times New Roman" w:cs="Times New Roman"/>
                <w:color w:val="auto"/>
                <w:sz w:val="20"/>
                <w:szCs w:val="20"/>
              </w:rPr>
            </w:pPr>
            <w:smartTag w:uri="urn:schemas-microsoft-com:office:smarttags" w:element="place">
              <w:smartTag w:uri="urn:schemas-microsoft-com:office:smarttags" w:element="country-region">
                <w:r w:rsidRPr="009533A2">
                  <w:rPr>
                    <w:rFonts w:ascii="Times New Roman" w:hAnsi="Times New Roman" w:cs="Times New Roman"/>
                    <w:color w:val="auto"/>
                    <w:sz w:val="20"/>
                    <w:szCs w:val="20"/>
                  </w:rPr>
                  <w:t>Armenia</w:t>
                </w:r>
              </w:smartTag>
            </w:smartTag>
          </w:p>
        </w:tc>
        <w:tc>
          <w:tcPr>
            <w:tcW w:w="587"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744,292</w:t>
            </w:r>
          </w:p>
        </w:tc>
        <w:tc>
          <w:tcPr>
            <w:tcW w:w="661"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70,708</w:t>
            </w:r>
          </w:p>
        </w:tc>
        <w:tc>
          <w:tcPr>
            <w:tcW w:w="659" w:type="pct"/>
          </w:tcPr>
          <w:p w:rsidR="00E83D4D" w:rsidRPr="009533A2" w:rsidRDefault="00E83D4D"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815,000</w:t>
            </w:r>
          </w:p>
        </w:tc>
      </w:tr>
      <w:tr w:rsidR="00E83D4D" w:rsidRPr="009533A2" w:rsidTr="00A27CA1">
        <w:trPr>
          <w:trHeight w:val="253"/>
        </w:trPr>
        <w:tc>
          <w:tcPr>
            <w:tcW w:w="3093" w:type="pct"/>
            <w:gridSpan w:val="4"/>
            <w:tcBorders>
              <w:top w:val="double" w:sz="4" w:space="0" w:color="auto"/>
            </w:tcBorders>
          </w:tcPr>
          <w:p w:rsidR="00E83D4D" w:rsidRPr="009533A2" w:rsidRDefault="00E83D4D" w:rsidP="00B13701">
            <w:pPr>
              <w:spacing w:after="0" w:line="240" w:lineRule="auto"/>
              <w:rPr>
                <w:rFonts w:ascii="Times New Roman" w:hAnsi="Times New Roman" w:cs="Times New Roman"/>
                <w:color w:val="auto"/>
                <w:sz w:val="20"/>
                <w:szCs w:val="20"/>
              </w:rPr>
            </w:pPr>
            <w:r w:rsidRPr="009533A2">
              <w:rPr>
                <w:rFonts w:ascii="Times New Roman" w:hAnsi="Times New Roman" w:cs="Times New Roman"/>
                <w:b/>
                <w:color w:val="auto"/>
                <w:sz w:val="20"/>
                <w:szCs w:val="20"/>
              </w:rPr>
              <w:t>Total Grant Resources</w:t>
            </w:r>
          </w:p>
        </w:tc>
        <w:tc>
          <w:tcPr>
            <w:tcW w:w="587" w:type="pct"/>
            <w:tcBorders>
              <w:top w:val="double" w:sz="4" w:space="0" w:color="auto"/>
            </w:tcBorders>
          </w:tcPr>
          <w:p w:rsidR="00E83D4D" w:rsidRPr="009533A2" w:rsidRDefault="00E83D4D" w:rsidP="00B1370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2,977,169</w:t>
            </w:r>
          </w:p>
        </w:tc>
        <w:tc>
          <w:tcPr>
            <w:tcW w:w="661" w:type="pct"/>
            <w:tcBorders>
              <w:top w:val="double" w:sz="4" w:space="0" w:color="auto"/>
            </w:tcBorders>
          </w:tcPr>
          <w:p w:rsidR="00E83D4D" w:rsidRPr="009533A2" w:rsidRDefault="00E83D4D" w:rsidP="00B1370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282,831</w:t>
            </w:r>
          </w:p>
        </w:tc>
        <w:tc>
          <w:tcPr>
            <w:tcW w:w="659" w:type="pct"/>
            <w:tcBorders>
              <w:top w:val="double" w:sz="4" w:space="0" w:color="auto"/>
            </w:tcBorders>
          </w:tcPr>
          <w:p w:rsidR="00E83D4D" w:rsidRPr="009533A2" w:rsidRDefault="00E83D4D" w:rsidP="00B13701">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3,260,000</w:t>
            </w:r>
          </w:p>
        </w:tc>
      </w:tr>
    </w:tbl>
    <w:p w:rsidR="00E83D4D" w:rsidRPr="009533A2" w:rsidRDefault="00E83D4D" w:rsidP="00A27CA1">
      <w:pPr>
        <w:pStyle w:val="Footer"/>
        <w:tabs>
          <w:tab w:val="clear" w:pos="4320"/>
          <w:tab w:val="clear" w:pos="8640"/>
        </w:tabs>
        <w:rPr>
          <w:sz w:val="18"/>
          <w:szCs w:val="18"/>
        </w:rPr>
      </w:pPr>
      <w:r w:rsidRPr="009533A2">
        <w:rPr>
          <w:bCs/>
          <w:smallCaps/>
          <w:sz w:val="18"/>
          <w:szCs w:val="18"/>
          <w:vertAlign w:val="superscript"/>
        </w:rPr>
        <w:t xml:space="preserve">1 </w:t>
      </w:r>
      <w:r w:rsidRPr="009533A2">
        <w:rPr>
          <w:sz w:val="18"/>
          <w:szCs w:val="18"/>
        </w:rPr>
        <w:t xml:space="preserve"> In case of a single focal area, single country, single GEF Agency project, and single trust fund project, no need to provide information for this table. PMC amount from Table B should be included proportionately to the focal area amount in this table. </w:t>
      </w:r>
    </w:p>
    <w:p w:rsidR="00E83D4D" w:rsidRPr="009533A2" w:rsidRDefault="00E83D4D" w:rsidP="00A27CA1">
      <w:pPr>
        <w:pStyle w:val="Footer"/>
        <w:tabs>
          <w:tab w:val="clear" w:pos="4320"/>
          <w:tab w:val="clear" w:pos="8640"/>
        </w:tabs>
        <w:rPr>
          <w:bCs/>
          <w:sz w:val="18"/>
          <w:szCs w:val="18"/>
        </w:rPr>
      </w:pPr>
      <w:r w:rsidRPr="009533A2">
        <w:rPr>
          <w:bCs/>
          <w:smallCaps/>
          <w:sz w:val="18"/>
          <w:szCs w:val="18"/>
          <w:vertAlign w:val="superscript"/>
        </w:rPr>
        <w:t xml:space="preserve">2   </w:t>
      </w:r>
      <w:r w:rsidRPr="009533A2">
        <w:rPr>
          <w:bCs/>
          <w:sz w:val="18"/>
          <w:szCs w:val="18"/>
        </w:rPr>
        <w:t>Indicate fees related to this project.</w:t>
      </w:r>
    </w:p>
    <w:p w:rsidR="00E83D4D" w:rsidRPr="009533A2" w:rsidRDefault="00E83D4D" w:rsidP="0059171B">
      <w:pPr>
        <w:pStyle w:val="Footer"/>
        <w:tabs>
          <w:tab w:val="clear" w:pos="4320"/>
          <w:tab w:val="clear" w:pos="8640"/>
        </w:tabs>
        <w:ind w:left="-720"/>
        <w:rPr>
          <w:bCs/>
          <w:sz w:val="18"/>
          <w:szCs w:val="18"/>
        </w:rPr>
      </w:pPr>
    </w:p>
    <w:p w:rsidR="00E83D4D" w:rsidRPr="009533A2" w:rsidRDefault="00E83D4D" w:rsidP="00A27CA1">
      <w:pPr>
        <w:pStyle w:val="Footer"/>
        <w:numPr>
          <w:ilvl w:val="0"/>
          <w:numId w:val="23"/>
        </w:numPr>
        <w:tabs>
          <w:tab w:val="clear" w:pos="4320"/>
          <w:tab w:val="clear" w:pos="8640"/>
        </w:tabs>
        <w:spacing w:before="240" w:after="120"/>
        <w:ind w:left="0" w:firstLine="0"/>
        <w:rPr>
          <w:b/>
          <w:smallCaps/>
          <w:sz w:val="22"/>
          <w:szCs w:val="22"/>
        </w:rPr>
      </w:pPr>
      <w:r w:rsidRPr="009533A2">
        <w:rPr>
          <w:b/>
          <w:smallCaps/>
          <w:sz w:val="22"/>
          <w:szCs w:val="22"/>
        </w:rPr>
        <w:t xml:space="preserve"> Project preparation grant (ppg)</w:t>
      </w:r>
    </w:p>
    <w:p w:rsidR="00E83D4D" w:rsidRPr="009533A2" w:rsidRDefault="00E83D4D" w:rsidP="0059171B">
      <w:pPr>
        <w:pStyle w:val="Footer"/>
        <w:rPr>
          <w:sz w:val="21"/>
          <w:szCs w:val="21"/>
        </w:rPr>
      </w:pPr>
      <w:r w:rsidRPr="009533A2">
        <w:rPr>
          <w:sz w:val="21"/>
          <w:szCs w:val="21"/>
        </w:rPr>
        <w:t>Please check on the appropriate box for PPG as needed for the project according to the GEF Project Grant:</w:t>
      </w:r>
    </w:p>
    <w:p w:rsidR="00E83D4D" w:rsidRPr="009533A2" w:rsidRDefault="00E83D4D" w:rsidP="0059171B">
      <w:pPr>
        <w:pStyle w:val="Footer"/>
        <w:tabs>
          <w:tab w:val="clear" w:pos="4320"/>
          <w:tab w:val="clear" w:pos="8640"/>
        </w:tabs>
        <w:rPr>
          <w:sz w:val="21"/>
          <w:szCs w:val="21"/>
        </w:rPr>
      </w:pPr>
      <w:r w:rsidRPr="009533A2">
        <w:rPr>
          <w:sz w:val="21"/>
          <w:szCs w:val="21"/>
        </w:rPr>
        <w:tab/>
        <w:t xml:space="preserve">           </w:t>
      </w:r>
      <w:r w:rsidRPr="009533A2">
        <w:rPr>
          <w:sz w:val="21"/>
          <w:szCs w:val="21"/>
        </w:rPr>
        <w:tab/>
      </w:r>
      <w:r w:rsidRPr="009533A2">
        <w:rPr>
          <w:sz w:val="21"/>
          <w:szCs w:val="21"/>
        </w:rPr>
        <w:tab/>
      </w:r>
      <w:r w:rsidRPr="009533A2">
        <w:rPr>
          <w:sz w:val="21"/>
          <w:szCs w:val="21"/>
        </w:rPr>
        <w:tab/>
      </w:r>
      <w:r w:rsidRPr="009533A2">
        <w:rPr>
          <w:sz w:val="21"/>
          <w:szCs w:val="21"/>
        </w:rPr>
        <w:tab/>
      </w:r>
      <w:r w:rsidRPr="009533A2">
        <w:rPr>
          <w:sz w:val="21"/>
          <w:szCs w:val="21"/>
        </w:rPr>
        <w:tab/>
      </w:r>
      <w:r w:rsidRPr="009533A2">
        <w:rPr>
          <w:sz w:val="21"/>
          <w:szCs w:val="21"/>
        </w:rPr>
        <w:tab/>
        <w:t xml:space="preserve">       </w:t>
      </w:r>
      <w:r w:rsidRPr="009533A2">
        <w:rPr>
          <w:sz w:val="21"/>
          <w:szCs w:val="21"/>
        </w:rPr>
        <w:tab/>
      </w:r>
      <w:r w:rsidRPr="009533A2">
        <w:rPr>
          <w:sz w:val="21"/>
          <w:szCs w:val="21"/>
          <w:u w:val="single"/>
        </w:rPr>
        <w:t xml:space="preserve">Amount </w:t>
      </w:r>
      <w:r w:rsidRPr="009533A2">
        <w:rPr>
          <w:sz w:val="21"/>
          <w:szCs w:val="21"/>
        </w:rPr>
        <w:t xml:space="preserve">                        </w:t>
      </w:r>
      <w:r w:rsidRPr="009533A2">
        <w:rPr>
          <w:sz w:val="21"/>
          <w:szCs w:val="21"/>
          <w:u w:val="single"/>
        </w:rPr>
        <w:t xml:space="preserve">Agency Fee                 </w:t>
      </w:r>
    </w:p>
    <w:p w:rsidR="00E83D4D" w:rsidRPr="009533A2" w:rsidRDefault="00E83D4D" w:rsidP="0059171B">
      <w:pPr>
        <w:pStyle w:val="Footer"/>
        <w:tabs>
          <w:tab w:val="clear" w:pos="4320"/>
          <w:tab w:val="clear" w:pos="8640"/>
        </w:tabs>
        <w:rPr>
          <w:sz w:val="21"/>
          <w:szCs w:val="21"/>
        </w:rPr>
      </w:pPr>
      <w:r w:rsidRPr="009533A2">
        <w:rPr>
          <w:sz w:val="21"/>
          <w:szCs w:val="21"/>
        </w:rPr>
        <w:tab/>
      </w:r>
      <w:r w:rsidRPr="009533A2">
        <w:rPr>
          <w:sz w:val="21"/>
          <w:szCs w:val="21"/>
        </w:rPr>
        <w:tab/>
      </w:r>
      <w:r w:rsidRPr="009533A2">
        <w:rPr>
          <w:sz w:val="21"/>
          <w:szCs w:val="21"/>
        </w:rPr>
        <w:tab/>
      </w:r>
      <w:r w:rsidRPr="009533A2">
        <w:rPr>
          <w:sz w:val="21"/>
          <w:szCs w:val="21"/>
        </w:rPr>
        <w:tab/>
      </w:r>
      <w:r w:rsidRPr="009533A2">
        <w:rPr>
          <w:sz w:val="21"/>
          <w:szCs w:val="21"/>
        </w:rPr>
        <w:tab/>
      </w:r>
      <w:r w:rsidRPr="009533A2">
        <w:rPr>
          <w:sz w:val="21"/>
          <w:szCs w:val="21"/>
        </w:rPr>
        <w:tab/>
      </w:r>
      <w:r w:rsidRPr="009533A2">
        <w:rPr>
          <w:sz w:val="21"/>
          <w:szCs w:val="21"/>
        </w:rPr>
        <w:tab/>
        <w:t xml:space="preserve">       </w:t>
      </w:r>
      <w:r w:rsidRPr="009533A2">
        <w:rPr>
          <w:sz w:val="21"/>
          <w:szCs w:val="21"/>
        </w:rPr>
        <w:tab/>
      </w:r>
      <w:r w:rsidRPr="009533A2">
        <w:rPr>
          <w:sz w:val="21"/>
          <w:szCs w:val="21"/>
          <w:u w:val="single"/>
        </w:rPr>
        <w:t>Requested ($)</w:t>
      </w:r>
      <w:r w:rsidRPr="009533A2">
        <w:rPr>
          <w:sz w:val="21"/>
          <w:szCs w:val="21"/>
          <w:u w:val="single"/>
        </w:rPr>
        <w:tab/>
        <w:t xml:space="preserve">      </w:t>
      </w:r>
      <w:r w:rsidRPr="009533A2">
        <w:rPr>
          <w:sz w:val="21"/>
          <w:szCs w:val="21"/>
        </w:rPr>
        <w:t xml:space="preserve">      </w:t>
      </w:r>
      <w:r w:rsidRPr="009533A2">
        <w:rPr>
          <w:sz w:val="21"/>
          <w:szCs w:val="21"/>
          <w:u w:val="single"/>
        </w:rPr>
        <w:t>for PPG ($)</w:t>
      </w:r>
    </w:p>
    <w:p w:rsidR="00E83D4D" w:rsidRPr="009533A2" w:rsidRDefault="00E83D4D" w:rsidP="0059171B">
      <w:pPr>
        <w:pStyle w:val="Footer"/>
        <w:numPr>
          <w:ilvl w:val="0"/>
          <w:numId w:val="17"/>
        </w:numPr>
        <w:tabs>
          <w:tab w:val="clear" w:pos="4320"/>
          <w:tab w:val="clear" w:pos="8640"/>
        </w:tabs>
        <w:ind w:left="360"/>
        <w:rPr>
          <w:sz w:val="21"/>
          <w:szCs w:val="21"/>
        </w:rPr>
      </w:pPr>
      <w:r w:rsidRPr="009533A2">
        <w:rPr>
          <w:sz w:val="21"/>
          <w:szCs w:val="21"/>
        </w:rPr>
        <w:t xml:space="preserve">No PPG required.                                           </w:t>
      </w:r>
      <w:r w:rsidRPr="009533A2">
        <w:rPr>
          <w:sz w:val="21"/>
          <w:szCs w:val="21"/>
        </w:rPr>
        <w:tab/>
      </w:r>
      <w:r w:rsidRPr="009533A2">
        <w:rPr>
          <w:sz w:val="21"/>
          <w:szCs w:val="21"/>
        </w:rPr>
        <w:tab/>
        <w:t xml:space="preserve">      </w:t>
      </w:r>
      <w:r w:rsidRPr="009533A2">
        <w:rPr>
          <w:sz w:val="21"/>
          <w:szCs w:val="21"/>
        </w:rPr>
        <w:tab/>
        <w:t xml:space="preserve"> </w:t>
      </w:r>
      <w:r w:rsidRPr="009533A2">
        <w:rPr>
          <w:sz w:val="21"/>
          <w:szCs w:val="21"/>
          <w:u w:val="single"/>
        </w:rPr>
        <w:t>___-- 0--________</w:t>
      </w:r>
      <w:r w:rsidRPr="009533A2">
        <w:rPr>
          <w:sz w:val="21"/>
          <w:szCs w:val="21"/>
        </w:rPr>
        <w:t xml:space="preserve">       </w:t>
      </w:r>
      <w:r w:rsidRPr="009533A2">
        <w:rPr>
          <w:sz w:val="21"/>
          <w:szCs w:val="21"/>
          <w:u w:val="single"/>
        </w:rPr>
        <w:t>_  --0--_______</w:t>
      </w:r>
    </w:p>
    <w:p w:rsidR="00E83D4D" w:rsidRPr="009533A2" w:rsidRDefault="00E83D4D" w:rsidP="0059171B">
      <w:pPr>
        <w:pStyle w:val="Footer"/>
        <w:numPr>
          <w:ilvl w:val="0"/>
          <w:numId w:val="17"/>
        </w:numPr>
        <w:tabs>
          <w:tab w:val="clear" w:pos="4320"/>
          <w:tab w:val="clear" w:pos="8640"/>
        </w:tabs>
        <w:ind w:left="360"/>
        <w:rPr>
          <w:sz w:val="21"/>
          <w:szCs w:val="21"/>
        </w:rPr>
      </w:pPr>
      <w:r w:rsidRPr="009533A2">
        <w:rPr>
          <w:color w:val="000000"/>
          <w:sz w:val="21"/>
          <w:szCs w:val="21"/>
        </w:rPr>
        <w:t>(upto) $50k for projects up to &amp; including $1 million</w:t>
      </w:r>
      <w:r w:rsidRPr="009533A2">
        <w:rPr>
          <w:color w:val="000000"/>
          <w:sz w:val="21"/>
          <w:szCs w:val="21"/>
        </w:rPr>
        <w:tab/>
        <w:t xml:space="preserve">       </w:t>
      </w:r>
      <w:r w:rsidRPr="009533A2">
        <w:rPr>
          <w:color w:val="000000"/>
          <w:sz w:val="21"/>
          <w:szCs w:val="21"/>
        </w:rPr>
        <w:tab/>
      </w:r>
      <w:r w:rsidRPr="009533A2">
        <w:rPr>
          <w:sz w:val="21"/>
          <w:szCs w:val="21"/>
        </w:rPr>
        <w:t>___</w:t>
      </w:r>
      <w:bookmarkStart w:id="4" w:name="PPG_AMT_01"/>
      <w:r w:rsidR="00D81B60" w:rsidRPr="009533A2">
        <w:rPr>
          <w:sz w:val="21"/>
          <w:szCs w:val="21"/>
          <w:u w:val="single"/>
        </w:rPr>
        <w:fldChar w:fldCharType="begin">
          <w:ffData>
            <w:name w:val="PPG_AMT_01"/>
            <w:enabled/>
            <w:calcOnExit w:val="0"/>
            <w:textInput/>
          </w:ffData>
        </w:fldChar>
      </w:r>
      <w:r w:rsidRPr="009533A2">
        <w:rPr>
          <w:sz w:val="21"/>
          <w:szCs w:val="21"/>
          <w:u w:val="single"/>
        </w:rPr>
        <w:instrText xml:space="preserve"> FORMTEXT </w:instrText>
      </w:r>
      <w:r w:rsidR="00D81B60" w:rsidRPr="009533A2">
        <w:rPr>
          <w:sz w:val="21"/>
          <w:szCs w:val="21"/>
          <w:u w:val="single"/>
        </w:rPr>
      </w:r>
      <w:r w:rsidR="00D81B60" w:rsidRPr="009533A2">
        <w:rPr>
          <w:sz w:val="21"/>
          <w:szCs w:val="21"/>
          <w:u w:val="single"/>
        </w:rPr>
        <w:fldChar w:fldCharType="separate"/>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00D81B60" w:rsidRPr="009533A2">
        <w:rPr>
          <w:sz w:val="21"/>
          <w:szCs w:val="21"/>
          <w:u w:val="single"/>
        </w:rPr>
        <w:fldChar w:fldCharType="end"/>
      </w:r>
      <w:bookmarkEnd w:id="4"/>
      <w:r w:rsidRPr="009533A2">
        <w:rPr>
          <w:sz w:val="21"/>
          <w:szCs w:val="21"/>
          <w:u w:val="single"/>
        </w:rPr>
        <w:t>_</w:t>
      </w:r>
      <w:r w:rsidRPr="009533A2">
        <w:rPr>
          <w:sz w:val="21"/>
          <w:szCs w:val="21"/>
        </w:rPr>
        <w:t>_______      ___</w:t>
      </w:r>
      <w:bookmarkStart w:id="5" w:name="PPG_FEE_01"/>
      <w:r w:rsidR="00D81B60" w:rsidRPr="009533A2">
        <w:rPr>
          <w:sz w:val="21"/>
          <w:szCs w:val="21"/>
          <w:u w:val="single"/>
        </w:rPr>
        <w:fldChar w:fldCharType="begin">
          <w:ffData>
            <w:name w:val="PPG_FEE_01"/>
            <w:enabled/>
            <w:calcOnExit w:val="0"/>
            <w:textInput/>
          </w:ffData>
        </w:fldChar>
      </w:r>
      <w:r w:rsidRPr="009533A2">
        <w:rPr>
          <w:sz w:val="21"/>
          <w:szCs w:val="21"/>
          <w:u w:val="single"/>
        </w:rPr>
        <w:instrText xml:space="preserve"> FORMTEXT </w:instrText>
      </w:r>
      <w:r w:rsidR="00D81B60" w:rsidRPr="009533A2">
        <w:rPr>
          <w:sz w:val="21"/>
          <w:szCs w:val="21"/>
          <w:u w:val="single"/>
        </w:rPr>
      </w:r>
      <w:r w:rsidR="00D81B60" w:rsidRPr="009533A2">
        <w:rPr>
          <w:sz w:val="21"/>
          <w:szCs w:val="21"/>
          <w:u w:val="single"/>
        </w:rPr>
        <w:fldChar w:fldCharType="separate"/>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00D81B60" w:rsidRPr="009533A2">
        <w:rPr>
          <w:sz w:val="21"/>
          <w:szCs w:val="21"/>
          <w:u w:val="single"/>
        </w:rPr>
        <w:fldChar w:fldCharType="end"/>
      </w:r>
      <w:bookmarkEnd w:id="5"/>
      <w:r w:rsidRPr="009533A2">
        <w:rPr>
          <w:sz w:val="21"/>
          <w:szCs w:val="21"/>
          <w:u w:val="single"/>
        </w:rPr>
        <w:t>_</w:t>
      </w:r>
      <w:r w:rsidRPr="009533A2">
        <w:rPr>
          <w:sz w:val="21"/>
          <w:szCs w:val="21"/>
        </w:rPr>
        <w:t>____</w:t>
      </w:r>
    </w:p>
    <w:p w:rsidR="00E83D4D" w:rsidRPr="009533A2" w:rsidRDefault="00E83D4D" w:rsidP="0059171B">
      <w:pPr>
        <w:pStyle w:val="Footer"/>
        <w:numPr>
          <w:ilvl w:val="0"/>
          <w:numId w:val="17"/>
        </w:numPr>
        <w:tabs>
          <w:tab w:val="clear" w:pos="4320"/>
          <w:tab w:val="clear" w:pos="8640"/>
        </w:tabs>
        <w:ind w:left="360"/>
        <w:rPr>
          <w:sz w:val="21"/>
          <w:szCs w:val="21"/>
        </w:rPr>
      </w:pPr>
      <w:r w:rsidRPr="009533A2">
        <w:rPr>
          <w:color w:val="000000"/>
          <w:sz w:val="21"/>
          <w:szCs w:val="21"/>
        </w:rPr>
        <w:t xml:space="preserve">(upto)$100k for projects up to &amp; including $3 million      </w:t>
      </w:r>
      <w:r w:rsidRPr="009533A2">
        <w:rPr>
          <w:color w:val="000000"/>
          <w:sz w:val="21"/>
          <w:szCs w:val="21"/>
        </w:rPr>
        <w:tab/>
      </w:r>
      <w:r w:rsidRPr="009533A2">
        <w:rPr>
          <w:sz w:val="21"/>
          <w:szCs w:val="21"/>
        </w:rPr>
        <w:t>___</w:t>
      </w:r>
      <w:r w:rsidRPr="009533A2">
        <w:rPr>
          <w:sz w:val="21"/>
          <w:szCs w:val="21"/>
          <w:u w:val="single"/>
        </w:rPr>
        <w:t xml:space="preserve">91,324 </w:t>
      </w:r>
      <w:r w:rsidRPr="009533A2">
        <w:rPr>
          <w:sz w:val="21"/>
          <w:szCs w:val="21"/>
        </w:rPr>
        <w:t>_______      ___</w:t>
      </w:r>
      <w:r w:rsidRPr="009533A2">
        <w:rPr>
          <w:sz w:val="21"/>
          <w:szCs w:val="21"/>
          <w:u w:val="single"/>
        </w:rPr>
        <w:t>8,676_</w:t>
      </w:r>
      <w:r w:rsidRPr="009533A2">
        <w:rPr>
          <w:sz w:val="21"/>
          <w:szCs w:val="21"/>
        </w:rPr>
        <w:t>____</w:t>
      </w:r>
    </w:p>
    <w:p w:rsidR="00E83D4D" w:rsidRPr="009533A2" w:rsidRDefault="00E83D4D" w:rsidP="0059171B">
      <w:pPr>
        <w:pStyle w:val="Footer"/>
        <w:numPr>
          <w:ilvl w:val="0"/>
          <w:numId w:val="17"/>
        </w:numPr>
        <w:tabs>
          <w:tab w:val="clear" w:pos="4320"/>
          <w:tab w:val="clear" w:pos="8640"/>
        </w:tabs>
        <w:ind w:left="360"/>
        <w:rPr>
          <w:sz w:val="21"/>
          <w:szCs w:val="21"/>
        </w:rPr>
      </w:pPr>
      <w:r w:rsidRPr="009533A2">
        <w:rPr>
          <w:color w:val="000000"/>
          <w:sz w:val="21"/>
          <w:szCs w:val="21"/>
        </w:rPr>
        <w:t xml:space="preserve">(upto)$150k for projects up to &amp; including $6 million      </w:t>
      </w:r>
      <w:r w:rsidRPr="009533A2">
        <w:rPr>
          <w:color w:val="000000"/>
          <w:sz w:val="21"/>
          <w:szCs w:val="21"/>
        </w:rPr>
        <w:tab/>
      </w:r>
      <w:r w:rsidRPr="009533A2">
        <w:rPr>
          <w:sz w:val="21"/>
          <w:szCs w:val="21"/>
        </w:rPr>
        <w:t>___</w:t>
      </w:r>
      <w:bookmarkStart w:id="6" w:name="PPG_AMT_03"/>
      <w:r w:rsidR="00D81B60" w:rsidRPr="009533A2">
        <w:rPr>
          <w:sz w:val="21"/>
          <w:szCs w:val="21"/>
          <w:u w:val="single"/>
        </w:rPr>
        <w:fldChar w:fldCharType="begin">
          <w:ffData>
            <w:name w:val="PPG_AMT_03"/>
            <w:enabled/>
            <w:calcOnExit w:val="0"/>
            <w:textInput/>
          </w:ffData>
        </w:fldChar>
      </w:r>
      <w:r w:rsidRPr="009533A2">
        <w:rPr>
          <w:sz w:val="21"/>
          <w:szCs w:val="21"/>
          <w:u w:val="single"/>
        </w:rPr>
        <w:instrText xml:space="preserve"> FORMTEXT </w:instrText>
      </w:r>
      <w:r w:rsidR="00D81B60" w:rsidRPr="009533A2">
        <w:rPr>
          <w:sz w:val="21"/>
          <w:szCs w:val="21"/>
          <w:u w:val="single"/>
        </w:rPr>
      </w:r>
      <w:r w:rsidR="00D81B60" w:rsidRPr="009533A2">
        <w:rPr>
          <w:sz w:val="21"/>
          <w:szCs w:val="21"/>
          <w:u w:val="single"/>
        </w:rPr>
        <w:fldChar w:fldCharType="separate"/>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00D81B60" w:rsidRPr="009533A2">
        <w:rPr>
          <w:sz w:val="21"/>
          <w:szCs w:val="21"/>
          <w:u w:val="single"/>
        </w:rPr>
        <w:fldChar w:fldCharType="end"/>
      </w:r>
      <w:bookmarkEnd w:id="6"/>
      <w:r w:rsidRPr="009533A2">
        <w:rPr>
          <w:sz w:val="21"/>
          <w:szCs w:val="21"/>
          <w:u w:val="single"/>
        </w:rPr>
        <w:t>_</w:t>
      </w:r>
      <w:r w:rsidRPr="009533A2">
        <w:rPr>
          <w:sz w:val="21"/>
          <w:szCs w:val="21"/>
        </w:rPr>
        <w:t>_______      ___</w:t>
      </w:r>
      <w:bookmarkStart w:id="7" w:name="PPG_FEE_03"/>
      <w:r w:rsidR="00D81B60" w:rsidRPr="009533A2">
        <w:rPr>
          <w:sz w:val="21"/>
          <w:szCs w:val="21"/>
          <w:u w:val="single"/>
        </w:rPr>
        <w:fldChar w:fldCharType="begin">
          <w:ffData>
            <w:name w:val="PPG_FEE_03"/>
            <w:enabled/>
            <w:calcOnExit w:val="0"/>
            <w:textInput/>
          </w:ffData>
        </w:fldChar>
      </w:r>
      <w:r w:rsidRPr="009533A2">
        <w:rPr>
          <w:sz w:val="21"/>
          <w:szCs w:val="21"/>
          <w:u w:val="single"/>
        </w:rPr>
        <w:instrText xml:space="preserve"> FORMTEXT </w:instrText>
      </w:r>
      <w:r w:rsidR="00D81B60" w:rsidRPr="009533A2">
        <w:rPr>
          <w:sz w:val="21"/>
          <w:szCs w:val="21"/>
          <w:u w:val="single"/>
        </w:rPr>
      </w:r>
      <w:r w:rsidR="00D81B60" w:rsidRPr="009533A2">
        <w:rPr>
          <w:sz w:val="21"/>
          <w:szCs w:val="21"/>
          <w:u w:val="single"/>
        </w:rPr>
        <w:fldChar w:fldCharType="separate"/>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00D81B60" w:rsidRPr="009533A2">
        <w:rPr>
          <w:sz w:val="21"/>
          <w:szCs w:val="21"/>
          <w:u w:val="single"/>
        </w:rPr>
        <w:fldChar w:fldCharType="end"/>
      </w:r>
      <w:bookmarkEnd w:id="7"/>
      <w:r w:rsidRPr="009533A2">
        <w:rPr>
          <w:sz w:val="21"/>
          <w:szCs w:val="21"/>
          <w:u w:val="single"/>
        </w:rPr>
        <w:t>_</w:t>
      </w:r>
      <w:r w:rsidRPr="009533A2">
        <w:rPr>
          <w:sz w:val="21"/>
          <w:szCs w:val="21"/>
        </w:rPr>
        <w:t>____</w:t>
      </w:r>
    </w:p>
    <w:p w:rsidR="00E83D4D" w:rsidRPr="009533A2" w:rsidRDefault="00E83D4D" w:rsidP="0059171B">
      <w:pPr>
        <w:pStyle w:val="Footer"/>
        <w:numPr>
          <w:ilvl w:val="0"/>
          <w:numId w:val="17"/>
        </w:numPr>
        <w:tabs>
          <w:tab w:val="clear" w:pos="4320"/>
          <w:tab w:val="clear" w:pos="8640"/>
        </w:tabs>
        <w:ind w:left="360"/>
        <w:rPr>
          <w:sz w:val="21"/>
          <w:szCs w:val="21"/>
        </w:rPr>
      </w:pPr>
      <w:r w:rsidRPr="009533A2">
        <w:rPr>
          <w:color w:val="000000"/>
          <w:sz w:val="21"/>
          <w:szCs w:val="21"/>
        </w:rPr>
        <w:t xml:space="preserve"> (upto)$200k for projects up to &amp; including $10 million   </w:t>
      </w:r>
      <w:r w:rsidRPr="009533A2">
        <w:rPr>
          <w:color w:val="000000"/>
          <w:sz w:val="21"/>
          <w:szCs w:val="21"/>
        </w:rPr>
        <w:tab/>
      </w:r>
      <w:r w:rsidRPr="009533A2">
        <w:rPr>
          <w:sz w:val="21"/>
          <w:szCs w:val="21"/>
        </w:rPr>
        <w:t>___</w:t>
      </w:r>
      <w:bookmarkStart w:id="8" w:name="PPG_AMT_04"/>
      <w:r w:rsidR="00D81B60" w:rsidRPr="009533A2">
        <w:rPr>
          <w:sz w:val="21"/>
          <w:szCs w:val="21"/>
          <w:u w:val="single"/>
        </w:rPr>
        <w:fldChar w:fldCharType="begin">
          <w:ffData>
            <w:name w:val="PPG_AMT_04"/>
            <w:enabled/>
            <w:calcOnExit w:val="0"/>
            <w:textInput/>
          </w:ffData>
        </w:fldChar>
      </w:r>
      <w:r w:rsidRPr="009533A2">
        <w:rPr>
          <w:sz w:val="21"/>
          <w:szCs w:val="21"/>
          <w:u w:val="single"/>
        </w:rPr>
        <w:instrText xml:space="preserve"> FORMTEXT </w:instrText>
      </w:r>
      <w:r w:rsidR="00D81B60" w:rsidRPr="009533A2">
        <w:rPr>
          <w:sz w:val="21"/>
          <w:szCs w:val="21"/>
          <w:u w:val="single"/>
        </w:rPr>
      </w:r>
      <w:r w:rsidR="00D81B60" w:rsidRPr="009533A2">
        <w:rPr>
          <w:sz w:val="21"/>
          <w:szCs w:val="21"/>
          <w:u w:val="single"/>
        </w:rPr>
        <w:fldChar w:fldCharType="separate"/>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00D81B60" w:rsidRPr="009533A2">
        <w:rPr>
          <w:sz w:val="21"/>
          <w:szCs w:val="21"/>
          <w:u w:val="single"/>
        </w:rPr>
        <w:fldChar w:fldCharType="end"/>
      </w:r>
      <w:bookmarkEnd w:id="8"/>
      <w:r w:rsidRPr="009533A2">
        <w:rPr>
          <w:sz w:val="21"/>
          <w:szCs w:val="21"/>
          <w:u w:val="single"/>
        </w:rPr>
        <w:t>_</w:t>
      </w:r>
      <w:r w:rsidRPr="009533A2">
        <w:rPr>
          <w:sz w:val="21"/>
          <w:szCs w:val="21"/>
        </w:rPr>
        <w:t>_______</w:t>
      </w:r>
      <w:r w:rsidRPr="009533A2">
        <w:rPr>
          <w:color w:val="000000"/>
          <w:sz w:val="21"/>
          <w:szCs w:val="21"/>
        </w:rPr>
        <w:t xml:space="preserve">      ___</w:t>
      </w:r>
      <w:bookmarkStart w:id="9" w:name="PPG_FEE_04"/>
      <w:r w:rsidR="00D81B60" w:rsidRPr="009533A2">
        <w:rPr>
          <w:color w:val="000000"/>
          <w:sz w:val="21"/>
          <w:szCs w:val="21"/>
          <w:u w:val="single"/>
        </w:rPr>
        <w:fldChar w:fldCharType="begin">
          <w:ffData>
            <w:name w:val="PPG_FEE_04"/>
            <w:enabled/>
            <w:calcOnExit w:val="0"/>
            <w:textInput/>
          </w:ffData>
        </w:fldChar>
      </w:r>
      <w:r w:rsidRPr="009533A2">
        <w:rPr>
          <w:color w:val="000000"/>
          <w:sz w:val="21"/>
          <w:szCs w:val="21"/>
          <w:u w:val="single"/>
        </w:rPr>
        <w:instrText xml:space="preserve"> FORMTEXT </w:instrText>
      </w:r>
      <w:r w:rsidR="00D81B60" w:rsidRPr="009533A2">
        <w:rPr>
          <w:color w:val="000000"/>
          <w:sz w:val="21"/>
          <w:szCs w:val="21"/>
          <w:u w:val="single"/>
        </w:rPr>
      </w:r>
      <w:r w:rsidR="00D81B60" w:rsidRPr="009533A2">
        <w:rPr>
          <w:color w:val="000000"/>
          <w:sz w:val="21"/>
          <w:szCs w:val="21"/>
          <w:u w:val="single"/>
        </w:rPr>
        <w:fldChar w:fldCharType="separate"/>
      </w:r>
      <w:r w:rsidRPr="009533A2">
        <w:rPr>
          <w:noProof/>
          <w:color w:val="000000"/>
          <w:sz w:val="21"/>
          <w:szCs w:val="21"/>
          <w:u w:val="single"/>
        </w:rPr>
        <w:t> </w:t>
      </w:r>
      <w:r w:rsidRPr="009533A2">
        <w:rPr>
          <w:noProof/>
          <w:color w:val="000000"/>
          <w:sz w:val="21"/>
          <w:szCs w:val="21"/>
          <w:u w:val="single"/>
        </w:rPr>
        <w:t> </w:t>
      </w:r>
      <w:r w:rsidRPr="009533A2">
        <w:rPr>
          <w:noProof/>
          <w:color w:val="000000"/>
          <w:sz w:val="21"/>
          <w:szCs w:val="21"/>
          <w:u w:val="single"/>
        </w:rPr>
        <w:t> </w:t>
      </w:r>
      <w:r w:rsidRPr="009533A2">
        <w:rPr>
          <w:noProof/>
          <w:color w:val="000000"/>
          <w:sz w:val="21"/>
          <w:szCs w:val="21"/>
          <w:u w:val="single"/>
        </w:rPr>
        <w:t> </w:t>
      </w:r>
      <w:r w:rsidRPr="009533A2">
        <w:rPr>
          <w:noProof/>
          <w:color w:val="000000"/>
          <w:sz w:val="21"/>
          <w:szCs w:val="21"/>
          <w:u w:val="single"/>
        </w:rPr>
        <w:t> </w:t>
      </w:r>
      <w:r w:rsidR="00D81B60" w:rsidRPr="009533A2">
        <w:rPr>
          <w:color w:val="000000"/>
          <w:sz w:val="21"/>
          <w:szCs w:val="21"/>
          <w:u w:val="single"/>
        </w:rPr>
        <w:fldChar w:fldCharType="end"/>
      </w:r>
      <w:bookmarkEnd w:id="9"/>
      <w:r w:rsidRPr="009533A2">
        <w:rPr>
          <w:color w:val="000000"/>
          <w:sz w:val="21"/>
          <w:szCs w:val="21"/>
          <w:u w:val="single"/>
        </w:rPr>
        <w:t>_</w:t>
      </w:r>
      <w:r w:rsidRPr="009533A2">
        <w:rPr>
          <w:color w:val="000000"/>
          <w:sz w:val="21"/>
          <w:szCs w:val="21"/>
        </w:rPr>
        <w:t>____</w:t>
      </w:r>
    </w:p>
    <w:p w:rsidR="00E83D4D" w:rsidRPr="009533A2" w:rsidRDefault="00E83D4D" w:rsidP="0059171B">
      <w:pPr>
        <w:pStyle w:val="Footer"/>
        <w:numPr>
          <w:ilvl w:val="0"/>
          <w:numId w:val="17"/>
        </w:numPr>
        <w:tabs>
          <w:tab w:val="clear" w:pos="4320"/>
          <w:tab w:val="clear" w:pos="8640"/>
        </w:tabs>
        <w:ind w:left="360"/>
        <w:rPr>
          <w:sz w:val="21"/>
          <w:szCs w:val="21"/>
        </w:rPr>
      </w:pPr>
      <w:r w:rsidRPr="009533A2">
        <w:rPr>
          <w:color w:val="000000"/>
          <w:sz w:val="21"/>
          <w:szCs w:val="21"/>
        </w:rPr>
        <w:t xml:space="preserve"> (upto)$300k for projects above $10 million     </w:t>
      </w:r>
      <w:r w:rsidRPr="009533A2">
        <w:rPr>
          <w:color w:val="000000"/>
          <w:sz w:val="21"/>
          <w:szCs w:val="21"/>
        </w:rPr>
        <w:tab/>
        <w:t xml:space="preserve">       </w:t>
      </w:r>
      <w:r w:rsidRPr="009533A2">
        <w:rPr>
          <w:color w:val="000000"/>
          <w:sz w:val="21"/>
          <w:szCs w:val="21"/>
        </w:rPr>
        <w:tab/>
      </w:r>
      <w:r w:rsidRPr="009533A2">
        <w:rPr>
          <w:color w:val="000000"/>
          <w:sz w:val="21"/>
          <w:szCs w:val="21"/>
        </w:rPr>
        <w:tab/>
      </w:r>
      <w:r w:rsidRPr="009533A2">
        <w:rPr>
          <w:sz w:val="21"/>
          <w:szCs w:val="21"/>
        </w:rPr>
        <w:t>___</w:t>
      </w:r>
      <w:bookmarkStart w:id="10" w:name="PPG_AMT_05"/>
      <w:r w:rsidR="00D81B60" w:rsidRPr="009533A2">
        <w:rPr>
          <w:sz w:val="21"/>
          <w:szCs w:val="21"/>
          <w:u w:val="single"/>
        </w:rPr>
        <w:fldChar w:fldCharType="begin">
          <w:ffData>
            <w:name w:val="PPG_AMT_05"/>
            <w:enabled/>
            <w:calcOnExit w:val="0"/>
            <w:textInput/>
          </w:ffData>
        </w:fldChar>
      </w:r>
      <w:r w:rsidRPr="009533A2">
        <w:rPr>
          <w:sz w:val="21"/>
          <w:szCs w:val="21"/>
          <w:u w:val="single"/>
        </w:rPr>
        <w:instrText xml:space="preserve"> FORMTEXT </w:instrText>
      </w:r>
      <w:r w:rsidR="00D81B60" w:rsidRPr="009533A2">
        <w:rPr>
          <w:sz w:val="21"/>
          <w:szCs w:val="21"/>
          <w:u w:val="single"/>
        </w:rPr>
      </w:r>
      <w:r w:rsidR="00D81B60" w:rsidRPr="009533A2">
        <w:rPr>
          <w:sz w:val="21"/>
          <w:szCs w:val="21"/>
          <w:u w:val="single"/>
        </w:rPr>
        <w:fldChar w:fldCharType="separate"/>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Pr="009533A2">
        <w:rPr>
          <w:noProof/>
          <w:sz w:val="21"/>
          <w:szCs w:val="21"/>
          <w:u w:val="single"/>
        </w:rPr>
        <w:t> </w:t>
      </w:r>
      <w:r w:rsidR="00D81B60" w:rsidRPr="009533A2">
        <w:rPr>
          <w:sz w:val="21"/>
          <w:szCs w:val="21"/>
          <w:u w:val="single"/>
        </w:rPr>
        <w:fldChar w:fldCharType="end"/>
      </w:r>
      <w:bookmarkEnd w:id="10"/>
      <w:r w:rsidRPr="009533A2">
        <w:rPr>
          <w:sz w:val="21"/>
          <w:szCs w:val="21"/>
          <w:u w:val="single"/>
        </w:rPr>
        <w:t>_</w:t>
      </w:r>
      <w:r w:rsidRPr="009533A2">
        <w:rPr>
          <w:sz w:val="21"/>
          <w:szCs w:val="21"/>
        </w:rPr>
        <w:t>_______</w:t>
      </w:r>
      <w:r w:rsidRPr="009533A2">
        <w:rPr>
          <w:color w:val="000000"/>
          <w:sz w:val="21"/>
          <w:szCs w:val="21"/>
        </w:rPr>
        <w:t xml:space="preserve">      ___</w:t>
      </w:r>
      <w:bookmarkStart w:id="11" w:name="PPG_FEE_05"/>
      <w:r w:rsidR="00D81B60" w:rsidRPr="009533A2">
        <w:rPr>
          <w:color w:val="000000"/>
          <w:sz w:val="21"/>
          <w:szCs w:val="21"/>
          <w:u w:val="single"/>
        </w:rPr>
        <w:fldChar w:fldCharType="begin">
          <w:ffData>
            <w:name w:val="PPG_FEE_05"/>
            <w:enabled/>
            <w:calcOnExit w:val="0"/>
            <w:textInput/>
          </w:ffData>
        </w:fldChar>
      </w:r>
      <w:r w:rsidRPr="009533A2">
        <w:rPr>
          <w:color w:val="000000"/>
          <w:sz w:val="21"/>
          <w:szCs w:val="21"/>
          <w:u w:val="single"/>
        </w:rPr>
        <w:instrText xml:space="preserve"> FORMTEXT </w:instrText>
      </w:r>
      <w:r w:rsidR="00D81B60" w:rsidRPr="009533A2">
        <w:rPr>
          <w:color w:val="000000"/>
          <w:sz w:val="21"/>
          <w:szCs w:val="21"/>
          <w:u w:val="single"/>
        </w:rPr>
      </w:r>
      <w:r w:rsidR="00D81B60" w:rsidRPr="009533A2">
        <w:rPr>
          <w:color w:val="000000"/>
          <w:sz w:val="21"/>
          <w:szCs w:val="21"/>
          <w:u w:val="single"/>
        </w:rPr>
        <w:fldChar w:fldCharType="separate"/>
      </w:r>
      <w:r w:rsidRPr="009533A2">
        <w:rPr>
          <w:noProof/>
          <w:color w:val="000000"/>
          <w:sz w:val="21"/>
          <w:szCs w:val="21"/>
          <w:u w:val="single"/>
        </w:rPr>
        <w:t> </w:t>
      </w:r>
      <w:r w:rsidRPr="009533A2">
        <w:rPr>
          <w:noProof/>
          <w:color w:val="000000"/>
          <w:sz w:val="21"/>
          <w:szCs w:val="21"/>
          <w:u w:val="single"/>
        </w:rPr>
        <w:t> </w:t>
      </w:r>
      <w:r w:rsidRPr="009533A2">
        <w:rPr>
          <w:noProof/>
          <w:color w:val="000000"/>
          <w:sz w:val="21"/>
          <w:szCs w:val="21"/>
          <w:u w:val="single"/>
        </w:rPr>
        <w:t> </w:t>
      </w:r>
      <w:r w:rsidRPr="009533A2">
        <w:rPr>
          <w:noProof/>
          <w:color w:val="000000"/>
          <w:sz w:val="21"/>
          <w:szCs w:val="21"/>
          <w:u w:val="single"/>
        </w:rPr>
        <w:t> </w:t>
      </w:r>
      <w:r w:rsidRPr="009533A2">
        <w:rPr>
          <w:noProof/>
          <w:color w:val="000000"/>
          <w:sz w:val="21"/>
          <w:szCs w:val="21"/>
          <w:u w:val="single"/>
        </w:rPr>
        <w:t> </w:t>
      </w:r>
      <w:r w:rsidR="00D81B60" w:rsidRPr="009533A2">
        <w:rPr>
          <w:color w:val="000000"/>
          <w:sz w:val="21"/>
          <w:szCs w:val="21"/>
          <w:u w:val="single"/>
        </w:rPr>
        <w:fldChar w:fldCharType="end"/>
      </w:r>
      <w:bookmarkEnd w:id="11"/>
      <w:r w:rsidRPr="009533A2">
        <w:rPr>
          <w:color w:val="000000"/>
          <w:sz w:val="21"/>
          <w:szCs w:val="21"/>
          <w:u w:val="single"/>
        </w:rPr>
        <w:t>_</w:t>
      </w:r>
      <w:r w:rsidRPr="009533A2">
        <w:rPr>
          <w:color w:val="000000"/>
          <w:sz w:val="21"/>
          <w:szCs w:val="21"/>
        </w:rPr>
        <w:t>____</w:t>
      </w:r>
    </w:p>
    <w:p w:rsidR="00E83D4D" w:rsidRPr="009533A2" w:rsidRDefault="00E83D4D" w:rsidP="0059171B">
      <w:pPr>
        <w:pStyle w:val="Footer"/>
        <w:rPr>
          <w:b/>
          <w:caps/>
          <w:sz w:val="21"/>
          <w:szCs w:val="21"/>
          <w:u w:val="single"/>
        </w:rPr>
      </w:pPr>
    </w:p>
    <w:p w:rsidR="00E83D4D" w:rsidRPr="009533A2" w:rsidRDefault="00BF6111" w:rsidP="00A27CA1">
      <w:pPr>
        <w:pStyle w:val="Footer"/>
        <w:tabs>
          <w:tab w:val="clear" w:pos="4320"/>
          <w:tab w:val="clear" w:pos="8640"/>
        </w:tabs>
        <w:rPr>
          <w:b/>
          <w:sz w:val="21"/>
          <w:szCs w:val="21"/>
        </w:rPr>
      </w:pPr>
      <w:r w:rsidRPr="009533A2">
        <w:rPr>
          <w:b/>
          <w:smallCaps/>
          <w:sz w:val="21"/>
          <w:szCs w:val="21"/>
        </w:rPr>
        <w:t>PPG  Amount requested by agency(ies), focal area(s) and country(ies) for MFA and/or MTF roject only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663"/>
        <w:gridCol w:w="1687"/>
        <w:gridCol w:w="2283"/>
        <w:gridCol w:w="1689"/>
        <w:gridCol w:w="1289"/>
        <w:gridCol w:w="1289"/>
        <w:gridCol w:w="1389"/>
      </w:tblGrid>
      <w:tr w:rsidR="00E83D4D" w:rsidRPr="009533A2" w:rsidTr="0086029A">
        <w:trPr>
          <w:trHeight w:val="278"/>
        </w:trPr>
        <w:tc>
          <w:tcPr>
            <w:tcW w:w="737" w:type="pct"/>
            <w:vMerge w:val="restart"/>
            <w:vAlign w:val="center"/>
          </w:tcPr>
          <w:p w:rsidR="00E83D4D" w:rsidRPr="009533A2" w:rsidRDefault="00BF6111" w:rsidP="00787387">
            <w:pPr>
              <w:spacing w:after="0" w:line="240" w:lineRule="auto"/>
              <w:jc w:val="right"/>
              <w:rPr>
                <w:rFonts w:ascii="Times New Roman" w:hAnsi="Times New Roman" w:cs="Times New Roman"/>
                <w:b/>
                <w:color w:val="auto"/>
                <w:sz w:val="20"/>
                <w:szCs w:val="20"/>
              </w:rPr>
            </w:pPr>
            <w:r w:rsidRPr="009533A2">
              <w:rPr>
                <w:rFonts w:ascii="Times New Roman" w:hAnsi="Times New Roman" w:cs="Times New Roman"/>
                <w:b/>
                <w:color w:val="auto"/>
                <w:sz w:val="20"/>
                <w:szCs w:val="20"/>
              </w:rPr>
              <w:t>Trust Fund</w:t>
            </w:r>
          </w:p>
        </w:tc>
        <w:tc>
          <w:tcPr>
            <w:tcW w:w="747" w:type="pct"/>
            <w:vMerge w:val="restart"/>
            <w:vAlign w:val="center"/>
          </w:tcPr>
          <w:p w:rsidR="00E83D4D" w:rsidRPr="009533A2" w:rsidRDefault="00BF6111" w:rsidP="00787387">
            <w:pPr>
              <w:spacing w:after="0" w:line="240" w:lineRule="auto"/>
              <w:jc w:val="right"/>
              <w:rPr>
                <w:rFonts w:ascii="Times New Roman" w:hAnsi="Times New Roman" w:cs="Times New Roman"/>
                <w:b/>
                <w:color w:val="auto"/>
                <w:sz w:val="20"/>
                <w:szCs w:val="20"/>
              </w:rPr>
            </w:pPr>
            <w:r w:rsidRPr="009533A2">
              <w:rPr>
                <w:rFonts w:ascii="Times New Roman" w:hAnsi="Times New Roman" w:cs="Times New Roman"/>
                <w:b/>
                <w:color w:val="auto"/>
                <w:sz w:val="20"/>
                <w:szCs w:val="20"/>
              </w:rPr>
              <w:t>GEF Agency</w:t>
            </w:r>
          </w:p>
        </w:tc>
        <w:tc>
          <w:tcPr>
            <w:tcW w:w="1011" w:type="pct"/>
            <w:vMerge w:val="restart"/>
            <w:vAlign w:val="center"/>
          </w:tcPr>
          <w:p w:rsidR="00E83D4D" w:rsidRPr="009533A2" w:rsidRDefault="00BF6111" w:rsidP="00787387">
            <w:pPr>
              <w:spacing w:after="0" w:line="240" w:lineRule="auto"/>
              <w:jc w:val="right"/>
              <w:rPr>
                <w:rFonts w:ascii="Times New Roman" w:hAnsi="Times New Roman" w:cs="Times New Roman"/>
                <w:b/>
                <w:color w:val="auto"/>
                <w:sz w:val="20"/>
                <w:szCs w:val="20"/>
              </w:rPr>
            </w:pPr>
            <w:r w:rsidRPr="009533A2">
              <w:rPr>
                <w:rFonts w:ascii="Times New Roman" w:hAnsi="Times New Roman" w:cs="Times New Roman"/>
                <w:b/>
                <w:color w:val="auto"/>
                <w:sz w:val="20"/>
                <w:szCs w:val="20"/>
              </w:rPr>
              <w:t>Focal Area</w:t>
            </w:r>
          </w:p>
        </w:tc>
        <w:tc>
          <w:tcPr>
            <w:tcW w:w="748" w:type="pct"/>
            <w:vMerge w:val="restart"/>
            <w:vAlign w:val="center"/>
          </w:tcPr>
          <w:p w:rsidR="00E83D4D" w:rsidRPr="009533A2" w:rsidRDefault="00BF6111" w:rsidP="00787387">
            <w:pPr>
              <w:spacing w:after="0" w:line="240" w:lineRule="auto"/>
              <w:ind w:right="-108"/>
              <w:rPr>
                <w:rFonts w:ascii="Times New Roman" w:hAnsi="Times New Roman" w:cs="Times New Roman"/>
                <w:b/>
                <w:color w:val="auto"/>
                <w:sz w:val="20"/>
                <w:szCs w:val="20"/>
              </w:rPr>
            </w:pPr>
            <w:r w:rsidRPr="009533A2">
              <w:rPr>
                <w:rFonts w:ascii="Times New Roman" w:hAnsi="Times New Roman" w:cs="Times New Roman"/>
                <w:b/>
                <w:color w:val="auto"/>
                <w:sz w:val="20"/>
                <w:szCs w:val="20"/>
              </w:rPr>
              <w:t>Country Name/</w:t>
            </w:r>
          </w:p>
          <w:p w:rsidR="00E83D4D" w:rsidRPr="009533A2" w:rsidRDefault="00BF6111" w:rsidP="00787387">
            <w:pPr>
              <w:spacing w:after="0" w:line="240" w:lineRule="auto"/>
              <w:jc w:val="right"/>
              <w:rPr>
                <w:rFonts w:ascii="Times New Roman" w:hAnsi="Times New Roman" w:cs="Times New Roman"/>
                <w:b/>
                <w:color w:val="auto"/>
                <w:sz w:val="20"/>
                <w:szCs w:val="20"/>
              </w:rPr>
            </w:pPr>
            <w:r w:rsidRPr="009533A2">
              <w:rPr>
                <w:rFonts w:ascii="Times New Roman" w:hAnsi="Times New Roman" w:cs="Times New Roman"/>
                <w:b/>
                <w:color w:val="auto"/>
                <w:sz w:val="20"/>
                <w:szCs w:val="20"/>
              </w:rPr>
              <w:t>Global</w:t>
            </w:r>
          </w:p>
        </w:tc>
        <w:tc>
          <w:tcPr>
            <w:tcW w:w="1757" w:type="pct"/>
            <w:gridSpan w:val="3"/>
            <w:vAlign w:val="center"/>
          </w:tcPr>
          <w:p w:rsidR="00E83D4D" w:rsidRPr="009533A2" w:rsidRDefault="00BF6111" w:rsidP="00167897">
            <w:pPr>
              <w:spacing w:after="0" w:line="240" w:lineRule="auto"/>
              <w:ind w:right="-108"/>
              <w:jc w:val="right"/>
              <w:rPr>
                <w:rFonts w:ascii="Times New Roman" w:hAnsi="Times New Roman" w:cs="Times New Roman"/>
                <w:b/>
                <w:color w:val="auto"/>
                <w:sz w:val="20"/>
                <w:szCs w:val="20"/>
              </w:rPr>
            </w:pPr>
            <w:r w:rsidRPr="009533A2">
              <w:rPr>
                <w:rFonts w:ascii="Times New Roman" w:hAnsi="Times New Roman" w:cs="Times New Roman"/>
                <w:b/>
                <w:color w:val="auto"/>
                <w:sz w:val="20"/>
                <w:szCs w:val="20"/>
              </w:rPr>
              <w:t>(in $)</w:t>
            </w:r>
          </w:p>
        </w:tc>
      </w:tr>
      <w:tr w:rsidR="00E83D4D" w:rsidRPr="009533A2" w:rsidTr="0086029A">
        <w:trPr>
          <w:trHeight w:val="277"/>
        </w:trPr>
        <w:tc>
          <w:tcPr>
            <w:tcW w:w="737" w:type="pct"/>
            <w:vMerge/>
          </w:tcPr>
          <w:p w:rsidR="00E83D4D" w:rsidRPr="009533A2" w:rsidRDefault="00E83D4D" w:rsidP="0059171B">
            <w:pPr>
              <w:jc w:val="right"/>
              <w:rPr>
                <w:rFonts w:ascii="Times New Roman" w:hAnsi="Times New Roman" w:cs="Times New Roman"/>
                <w:b/>
                <w:smallCaps/>
                <w:color w:val="auto"/>
                <w:sz w:val="20"/>
                <w:szCs w:val="20"/>
              </w:rPr>
            </w:pPr>
          </w:p>
        </w:tc>
        <w:tc>
          <w:tcPr>
            <w:tcW w:w="747" w:type="pct"/>
            <w:vMerge/>
          </w:tcPr>
          <w:p w:rsidR="00E83D4D" w:rsidRPr="009533A2" w:rsidRDefault="00E83D4D" w:rsidP="0059171B">
            <w:pPr>
              <w:jc w:val="right"/>
              <w:rPr>
                <w:rFonts w:ascii="Times New Roman" w:hAnsi="Times New Roman" w:cs="Times New Roman"/>
                <w:b/>
                <w:smallCaps/>
                <w:color w:val="auto"/>
                <w:sz w:val="20"/>
                <w:szCs w:val="20"/>
              </w:rPr>
            </w:pPr>
          </w:p>
        </w:tc>
        <w:tc>
          <w:tcPr>
            <w:tcW w:w="1011" w:type="pct"/>
            <w:vMerge/>
          </w:tcPr>
          <w:p w:rsidR="00E83D4D" w:rsidRPr="009533A2" w:rsidRDefault="00E83D4D" w:rsidP="0059171B">
            <w:pPr>
              <w:jc w:val="right"/>
              <w:rPr>
                <w:rFonts w:ascii="Times New Roman" w:hAnsi="Times New Roman" w:cs="Times New Roman"/>
                <w:b/>
                <w:smallCaps/>
                <w:color w:val="auto"/>
                <w:sz w:val="20"/>
                <w:szCs w:val="20"/>
              </w:rPr>
            </w:pPr>
          </w:p>
        </w:tc>
        <w:tc>
          <w:tcPr>
            <w:tcW w:w="748" w:type="pct"/>
            <w:vMerge/>
          </w:tcPr>
          <w:p w:rsidR="00E83D4D" w:rsidRPr="009533A2" w:rsidRDefault="00E83D4D" w:rsidP="0059171B">
            <w:pPr>
              <w:jc w:val="right"/>
              <w:rPr>
                <w:rFonts w:ascii="Times New Roman" w:hAnsi="Times New Roman" w:cs="Times New Roman"/>
                <w:b/>
                <w:color w:val="auto"/>
                <w:sz w:val="20"/>
                <w:szCs w:val="20"/>
              </w:rPr>
            </w:pPr>
          </w:p>
        </w:tc>
        <w:tc>
          <w:tcPr>
            <w:tcW w:w="571" w:type="pct"/>
          </w:tcPr>
          <w:p w:rsidR="00E83D4D" w:rsidRPr="009533A2" w:rsidRDefault="00E83D4D" w:rsidP="00167897">
            <w:pPr>
              <w:spacing w:after="0" w:line="240" w:lineRule="auto"/>
              <w:jc w:val="right"/>
              <w:rPr>
                <w:rFonts w:ascii="Times New Roman" w:hAnsi="Times New Roman" w:cs="Times New Roman"/>
                <w:b/>
                <w:color w:val="auto"/>
                <w:sz w:val="20"/>
                <w:szCs w:val="20"/>
              </w:rPr>
            </w:pPr>
          </w:p>
          <w:p w:rsidR="00E83D4D" w:rsidRPr="009533A2" w:rsidRDefault="00BF6111" w:rsidP="00167897">
            <w:pPr>
              <w:spacing w:after="0" w:line="240" w:lineRule="auto"/>
              <w:ind w:right="-108"/>
              <w:jc w:val="right"/>
              <w:rPr>
                <w:rFonts w:ascii="Times New Roman" w:hAnsi="Times New Roman" w:cs="Times New Roman"/>
                <w:color w:val="auto"/>
                <w:sz w:val="20"/>
                <w:szCs w:val="20"/>
              </w:rPr>
            </w:pPr>
            <w:r w:rsidRPr="009533A2">
              <w:rPr>
                <w:rFonts w:ascii="Times New Roman" w:hAnsi="Times New Roman" w:cs="Times New Roman"/>
                <w:b/>
                <w:color w:val="auto"/>
                <w:sz w:val="20"/>
                <w:szCs w:val="20"/>
              </w:rPr>
              <w:t xml:space="preserve">PPG </w:t>
            </w:r>
            <w:r w:rsidRPr="009533A2">
              <w:rPr>
                <w:rFonts w:ascii="Times New Roman" w:hAnsi="Times New Roman" w:cs="Times New Roman"/>
                <w:color w:val="auto"/>
                <w:sz w:val="20"/>
                <w:szCs w:val="20"/>
              </w:rPr>
              <w:t>(a)</w:t>
            </w:r>
          </w:p>
        </w:tc>
        <w:tc>
          <w:tcPr>
            <w:tcW w:w="571" w:type="pct"/>
          </w:tcPr>
          <w:p w:rsidR="00E83D4D" w:rsidRPr="009533A2" w:rsidRDefault="00BF6111" w:rsidP="00167897">
            <w:pPr>
              <w:spacing w:after="0" w:line="240" w:lineRule="auto"/>
              <w:jc w:val="right"/>
              <w:rPr>
                <w:rFonts w:ascii="Times New Roman" w:hAnsi="Times New Roman" w:cs="Times New Roman"/>
                <w:b/>
                <w:color w:val="auto"/>
                <w:sz w:val="20"/>
                <w:szCs w:val="20"/>
              </w:rPr>
            </w:pPr>
            <w:r w:rsidRPr="009533A2">
              <w:rPr>
                <w:rFonts w:ascii="Times New Roman" w:hAnsi="Times New Roman" w:cs="Times New Roman"/>
                <w:b/>
                <w:color w:val="auto"/>
                <w:sz w:val="20"/>
                <w:szCs w:val="20"/>
              </w:rPr>
              <w:t>Agency</w:t>
            </w:r>
          </w:p>
          <w:p w:rsidR="00E83D4D" w:rsidRPr="009533A2" w:rsidRDefault="00BF6111" w:rsidP="00167897">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b/>
                <w:color w:val="auto"/>
                <w:sz w:val="20"/>
                <w:szCs w:val="20"/>
              </w:rPr>
              <w:t xml:space="preserve">Fee </w:t>
            </w:r>
            <w:r w:rsidRPr="009533A2">
              <w:rPr>
                <w:rFonts w:ascii="Times New Roman" w:hAnsi="Times New Roman" w:cs="Times New Roman"/>
                <w:color w:val="auto"/>
                <w:sz w:val="20"/>
                <w:szCs w:val="20"/>
              </w:rPr>
              <w:t>(b)</w:t>
            </w:r>
          </w:p>
        </w:tc>
        <w:tc>
          <w:tcPr>
            <w:tcW w:w="615" w:type="pct"/>
          </w:tcPr>
          <w:p w:rsidR="00E83D4D" w:rsidRPr="009533A2" w:rsidRDefault="00BF6111" w:rsidP="00167897">
            <w:pPr>
              <w:spacing w:after="0" w:line="240" w:lineRule="auto"/>
              <w:jc w:val="right"/>
              <w:rPr>
                <w:rFonts w:ascii="Times New Roman" w:hAnsi="Times New Roman" w:cs="Times New Roman"/>
                <w:b/>
                <w:color w:val="auto"/>
                <w:sz w:val="20"/>
                <w:szCs w:val="20"/>
              </w:rPr>
            </w:pPr>
            <w:r w:rsidRPr="009533A2">
              <w:rPr>
                <w:rFonts w:ascii="Times New Roman" w:hAnsi="Times New Roman" w:cs="Times New Roman"/>
                <w:b/>
                <w:color w:val="auto"/>
                <w:sz w:val="20"/>
                <w:szCs w:val="20"/>
              </w:rPr>
              <w:t>Total</w:t>
            </w:r>
          </w:p>
          <w:p w:rsidR="00E83D4D" w:rsidRPr="009533A2" w:rsidRDefault="00BF6111" w:rsidP="00167897">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c = a + b</w:t>
            </w:r>
          </w:p>
        </w:tc>
      </w:tr>
      <w:tr w:rsidR="00E83D4D" w:rsidRPr="009533A2" w:rsidTr="0086029A">
        <w:trPr>
          <w:trHeight w:val="253"/>
        </w:trPr>
        <w:tc>
          <w:tcPr>
            <w:tcW w:w="737" w:type="pct"/>
          </w:tcPr>
          <w:p w:rsidR="00E83D4D" w:rsidRPr="009533A2" w:rsidRDefault="00BF6111" w:rsidP="009A3953">
            <w:pPr>
              <w:spacing w:after="0" w:line="240" w:lineRule="auto"/>
              <w:rPr>
                <w:rFonts w:ascii="Times New Roman" w:hAnsi="Times New Roman" w:cs="Times New Roman"/>
                <w:color w:val="auto"/>
              </w:rPr>
            </w:pPr>
            <w:r w:rsidRPr="009533A2">
              <w:rPr>
                <w:rFonts w:ascii="Times New Roman" w:hAnsi="Times New Roman" w:cs="Times New Roman"/>
                <w:color w:val="auto"/>
                <w:sz w:val="20"/>
                <w:szCs w:val="20"/>
              </w:rPr>
              <w:t>GEF TF</w:t>
            </w:r>
          </w:p>
        </w:tc>
        <w:tc>
          <w:tcPr>
            <w:tcW w:w="747" w:type="pct"/>
          </w:tcPr>
          <w:p w:rsidR="00E83D4D" w:rsidRPr="009533A2" w:rsidRDefault="00BF6111"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1011" w:type="pct"/>
          </w:tcPr>
          <w:p w:rsidR="00E83D4D" w:rsidRPr="009533A2" w:rsidRDefault="00D36F75"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B</w:t>
            </w:r>
            <w:r w:rsidR="00BF6111" w:rsidRPr="009533A2">
              <w:rPr>
                <w:rFonts w:ascii="Times New Roman" w:hAnsi="Times New Roman" w:cs="Times New Roman"/>
                <w:color w:val="auto"/>
                <w:sz w:val="20"/>
                <w:szCs w:val="20"/>
              </w:rPr>
              <w:t>D</w:t>
            </w:r>
          </w:p>
        </w:tc>
        <w:tc>
          <w:tcPr>
            <w:tcW w:w="748" w:type="pct"/>
          </w:tcPr>
          <w:p w:rsidR="00E83D4D" w:rsidRPr="009533A2" w:rsidRDefault="00BF6111" w:rsidP="009A3953">
            <w:pPr>
              <w:spacing w:after="0" w:line="240" w:lineRule="auto"/>
              <w:rPr>
                <w:rFonts w:ascii="Times New Roman" w:hAnsi="Times New Roman" w:cs="Times New Roman"/>
                <w:color w:val="auto"/>
                <w:sz w:val="20"/>
                <w:szCs w:val="20"/>
              </w:rPr>
            </w:pPr>
            <w:smartTag w:uri="urn:schemas-microsoft-com:office:smarttags" w:element="place">
              <w:smartTag w:uri="urn:schemas-microsoft-com:office:smarttags" w:element="country-region">
                <w:r w:rsidRPr="009533A2">
                  <w:rPr>
                    <w:rFonts w:ascii="Times New Roman" w:hAnsi="Times New Roman" w:cs="Times New Roman"/>
                    <w:color w:val="auto"/>
                    <w:sz w:val="20"/>
                    <w:szCs w:val="20"/>
                  </w:rPr>
                  <w:t>Armenia</w:t>
                </w:r>
              </w:smartTag>
            </w:smartTag>
          </w:p>
        </w:tc>
        <w:tc>
          <w:tcPr>
            <w:tcW w:w="571" w:type="pct"/>
          </w:tcPr>
          <w:p w:rsidR="00E83D4D"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13,590</w:t>
            </w:r>
          </w:p>
        </w:tc>
        <w:tc>
          <w:tcPr>
            <w:tcW w:w="571" w:type="pct"/>
          </w:tcPr>
          <w:p w:rsidR="00E83D4D"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1,291</w:t>
            </w:r>
          </w:p>
        </w:tc>
        <w:tc>
          <w:tcPr>
            <w:tcW w:w="615" w:type="pct"/>
          </w:tcPr>
          <w:p w:rsidR="00E83D4D"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14,881</w:t>
            </w:r>
          </w:p>
        </w:tc>
      </w:tr>
      <w:tr w:rsidR="00D36F75" w:rsidRPr="009533A2" w:rsidTr="0086029A">
        <w:trPr>
          <w:trHeight w:val="253"/>
        </w:trPr>
        <w:tc>
          <w:tcPr>
            <w:tcW w:w="737" w:type="pct"/>
          </w:tcPr>
          <w:p w:rsidR="00D36F75" w:rsidRPr="009533A2" w:rsidRDefault="00D36F75"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 TF</w:t>
            </w:r>
          </w:p>
        </w:tc>
        <w:tc>
          <w:tcPr>
            <w:tcW w:w="747" w:type="pct"/>
          </w:tcPr>
          <w:p w:rsidR="00D36F75" w:rsidRPr="009533A2" w:rsidRDefault="00D36F75"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1011" w:type="pct"/>
          </w:tcPr>
          <w:p w:rsidR="00D36F75" w:rsidRPr="009533A2" w:rsidRDefault="00D36F75"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LD</w:t>
            </w:r>
          </w:p>
        </w:tc>
        <w:tc>
          <w:tcPr>
            <w:tcW w:w="748" w:type="pct"/>
          </w:tcPr>
          <w:p w:rsidR="00D36F75" w:rsidRPr="009533A2" w:rsidRDefault="00D36F75"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Armenia</w:t>
            </w:r>
          </w:p>
        </w:tc>
        <w:tc>
          <w:tcPr>
            <w:tcW w:w="571" w:type="pct"/>
          </w:tcPr>
          <w:p w:rsidR="00D36F75"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46,749</w:t>
            </w:r>
          </w:p>
        </w:tc>
        <w:tc>
          <w:tcPr>
            <w:tcW w:w="571" w:type="pct"/>
          </w:tcPr>
          <w:p w:rsidR="00D36F75"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4,441</w:t>
            </w:r>
          </w:p>
        </w:tc>
        <w:tc>
          <w:tcPr>
            <w:tcW w:w="615" w:type="pct"/>
          </w:tcPr>
          <w:p w:rsidR="00D36F75"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51,190</w:t>
            </w:r>
          </w:p>
        </w:tc>
      </w:tr>
      <w:tr w:rsidR="0086029A" w:rsidRPr="009533A2" w:rsidTr="0086029A">
        <w:trPr>
          <w:trHeight w:val="253"/>
        </w:trPr>
        <w:tc>
          <w:tcPr>
            <w:tcW w:w="737" w:type="pct"/>
          </w:tcPr>
          <w:p w:rsidR="0086029A" w:rsidRPr="009533A2" w:rsidRDefault="0086029A"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 TF</w:t>
            </w:r>
          </w:p>
        </w:tc>
        <w:tc>
          <w:tcPr>
            <w:tcW w:w="747" w:type="pct"/>
          </w:tcPr>
          <w:p w:rsidR="0086029A" w:rsidRPr="009533A2" w:rsidRDefault="0086029A"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1011" w:type="pct"/>
          </w:tcPr>
          <w:p w:rsidR="0086029A" w:rsidRPr="009533A2" w:rsidRDefault="0086029A"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CC</w:t>
            </w:r>
          </w:p>
        </w:tc>
        <w:tc>
          <w:tcPr>
            <w:tcW w:w="748" w:type="pct"/>
          </w:tcPr>
          <w:p w:rsidR="0086029A" w:rsidRPr="009533A2" w:rsidRDefault="0086029A"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Armenia</w:t>
            </w:r>
          </w:p>
        </w:tc>
        <w:tc>
          <w:tcPr>
            <w:tcW w:w="571" w:type="pct"/>
          </w:tcPr>
          <w:p w:rsidR="0086029A" w:rsidRPr="009533A2" w:rsidRDefault="0086029A" w:rsidP="002426B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8,154</w:t>
            </w:r>
          </w:p>
        </w:tc>
        <w:tc>
          <w:tcPr>
            <w:tcW w:w="571" w:type="pct"/>
          </w:tcPr>
          <w:p w:rsidR="0086029A" w:rsidRPr="009533A2" w:rsidRDefault="0086029A" w:rsidP="002426B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775</w:t>
            </w:r>
          </w:p>
        </w:tc>
        <w:tc>
          <w:tcPr>
            <w:tcW w:w="615" w:type="pct"/>
          </w:tcPr>
          <w:p w:rsidR="0086029A"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8,929</w:t>
            </w:r>
          </w:p>
        </w:tc>
      </w:tr>
      <w:tr w:rsidR="0086029A" w:rsidRPr="009533A2" w:rsidTr="0086029A">
        <w:trPr>
          <w:trHeight w:val="253"/>
        </w:trPr>
        <w:tc>
          <w:tcPr>
            <w:tcW w:w="737" w:type="pct"/>
          </w:tcPr>
          <w:p w:rsidR="0086029A" w:rsidRPr="009533A2" w:rsidRDefault="0086029A"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 TF</w:t>
            </w:r>
          </w:p>
        </w:tc>
        <w:tc>
          <w:tcPr>
            <w:tcW w:w="747" w:type="pct"/>
          </w:tcPr>
          <w:p w:rsidR="0086029A" w:rsidRPr="009533A2" w:rsidRDefault="0086029A"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UNDP</w:t>
            </w:r>
          </w:p>
        </w:tc>
        <w:tc>
          <w:tcPr>
            <w:tcW w:w="1011" w:type="pct"/>
          </w:tcPr>
          <w:p w:rsidR="0086029A" w:rsidRPr="009533A2" w:rsidRDefault="0086029A" w:rsidP="009A3953">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SFM/REDD</w:t>
            </w:r>
          </w:p>
        </w:tc>
        <w:tc>
          <w:tcPr>
            <w:tcW w:w="748" w:type="pct"/>
          </w:tcPr>
          <w:p w:rsidR="0086029A" w:rsidRPr="009533A2" w:rsidRDefault="0086029A" w:rsidP="009A3953">
            <w:pPr>
              <w:spacing w:after="0" w:line="240" w:lineRule="auto"/>
              <w:rPr>
                <w:rFonts w:ascii="Times New Roman" w:hAnsi="Times New Roman" w:cs="Times New Roman"/>
                <w:color w:val="auto"/>
                <w:sz w:val="20"/>
                <w:szCs w:val="20"/>
              </w:rPr>
            </w:pPr>
            <w:smartTag w:uri="urn:schemas-microsoft-com:office:smarttags" w:element="place">
              <w:smartTag w:uri="urn:schemas-microsoft-com:office:smarttags" w:element="country-region">
                <w:r w:rsidRPr="009533A2">
                  <w:rPr>
                    <w:rFonts w:ascii="Times New Roman" w:hAnsi="Times New Roman" w:cs="Times New Roman"/>
                    <w:color w:val="auto"/>
                    <w:sz w:val="20"/>
                    <w:szCs w:val="20"/>
                  </w:rPr>
                  <w:t>Armenia</w:t>
                </w:r>
              </w:smartTag>
            </w:smartTag>
          </w:p>
        </w:tc>
        <w:tc>
          <w:tcPr>
            <w:tcW w:w="571" w:type="pct"/>
          </w:tcPr>
          <w:p w:rsidR="0086029A"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22,831</w:t>
            </w:r>
          </w:p>
        </w:tc>
        <w:tc>
          <w:tcPr>
            <w:tcW w:w="571" w:type="pct"/>
          </w:tcPr>
          <w:p w:rsidR="0086029A"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2,169</w:t>
            </w:r>
          </w:p>
        </w:tc>
        <w:tc>
          <w:tcPr>
            <w:tcW w:w="615" w:type="pct"/>
          </w:tcPr>
          <w:p w:rsidR="0086029A"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25,000</w:t>
            </w:r>
          </w:p>
        </w:tc>
      </w:tr>
      <w:tr w:rsidR="0086029A" w:rsidRPr="009533A2" w:rsidTr="00787387">
        <w:trPr>
          <w:trHeight w:val="253"/>
        </w:trPr>
        <w:tc>
          <w:tcPr>
            <w:tcW w:w="3243" w:type="pct"/>
            <w:gridSpan w:val="4"/>
            <w:tcBorders>
              <w:top w:val="double" w:sz="4" w:space="0" w:color="auto"/>
            </w:tcBorders>
          </w:tcPr>
          <w:p w:rsidR="0086029A" w:rsidRPr="009533A2" w:rsidRDefault="0086029A" w:rsidP="00167897">
            <w:pPr>
              <w:spacing w:after="0" w:line="240" w:lineRule="auto"/>
              <w:rPr>
                <w:rFonts w:ascii="Times New Roman" w:hAnsi="Times New Roman" w:cs="Times New Roman"/>
                <w:color w:val="auto"/>
                <w:sz w:val="20"/>
                <w:szCs w:val="20"/>
              </w:rPr>
            </w:pPr>
            <w:r w:rsidRPr="009533A2">
              <w:rPr>
                <w:rFonts w:ascii="Times New Roman" w:hAnsi="Times New Roman" w:cs="Times New Roman"/>
                <w:b/>
                <w:color w:val="auto"/>
                <w:sz w:val="20"/>
                <w:szCs w:val="20"/>
              </w:rPr>
              <w:t>Total PPG Amount</w:t>
            </w:r>
          </w:p>
        </w:tc>
        <w:tc>
          <w:tcPr>
            <w:tcW w:w="571" w:type="pct"/>
            <w:tcBorders>
              <w:top w:val="double" w:sz="4" w:space="0" w:color="auto"/>
            </w:tcBorders>
          </w:tcPr>
          <w:p w:rsidR="0086029A"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91,324</w:t>
            </w:r>
          </w:p>
        </w:tc>
        <w:tc>
          <w:tcPr>
            <w:tcW w:w="571" w:type="pct"/>
            <w:tcBorders>
              <w:top w:val="double" w:sz="4" w:space="0" w:color="auto"/>
            </w:tcBorders>
          </w:tcPr>
          <w:p w:rsidR="0086029A"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8,676</w:t>
            </w:r>
          </w:p>
        </w:tc>
        <w:tc>
          <w:tcPr>
            <w:tcW w:w="615" w:type="pct"/>
            <w:tcBorders>
              <w:top w:val="double" w:sz="4" w:space="0" w:color="auto"/>
            </w:tcBorders>
          </w:tcPr>
          <w:p w:rsidR="0086029A" w:rsidRPr="009533A2" w:rsidRDefault="0086029A" w:rsidP="009A3953">
            <w:pPr>
              <w:spacing w:after="0" w:line="240" w:lineRule="auto"/>
              <w:jc w:val="right"/>
              <w:rPr>
                <w:rFonts w:ascii="Times New Roman" w:hAnsi="Times New Roman" w:cs="Times New Roman"/>
                <w:color w:val="auto"/>
                <w:sz w:val="20"/>
                <w:szCs w:val="20"/>
              </w:rPr>
            </w:pPr>
            <w:r w:rsidRPr="009533A2">
              <w:rPr>
                <w:rFonts w:ascii="Times New Roman" w:hAnsi="Times New Roman" w:cs="Times New Roman"/>
                <w:color w:val="auto"/>
                <w:sz w:val="20"/>
                <w:szCs w:val="20"/>
              </w:rPr>
              <w:t>100,000</w:t>
            </w:r>
          </w:p>
        </w:tc>
      </w:tr>
    </w:tbl>
    <w:p w:rsidR="00E83D4D" w:rsidRPr="009533A2" w:rsidRDefault="00BF6111" w:rsidP="00A27CA1">
      <w:pPr>
        <w:pStyle w:val="Footer"/>
        <w:spacing w:after="120"/>
        <w:rPr>
          <w:sz w:val="20"/>
          <w:szCs w:val="20"/>
        </w:rPr>
      </w:pPr>
      <w:r w:rsidRPr="009533A2">
        <w:rPr>
          <w:caps/>
          <w:sz w:val="20"/>
          <w:szCs w:val="20"/>
        </w:rPr>
        <w:t>MFA:  M</w:t>
      </w:r>
      <w:r w:rsidRPr="009533A2">
        <w:rPr>
          <w:sz w:val="20"/>
          <w:szCs w:val="20"/>
        </w:rPr>
        <w:t>ulti-focal area projects;  MTF:  Multi-Trust Fund projects.</w:t>
      </w:r>
    </w:p>
    <w:p w:rsidR="00E83D4D" w:rsidRPr="009533A2" w:rsidRDefault="00E83D4D" w:rsidP="0059171B">
      <w:pPr>
        <w:pStyle w:val="Footer"/>
        <w:spacing w:after="120"/>
        <w:rPr>
          <w:b/>
          <w:caps/>
          <w:color w:val="00B0F0"/>
          <w:sz w:val="21"/>
          <w:szCs w:val="21"/>
          <w:u w:val="single"/>
        </w:rPr>
      </w:pPr>
      <w:r w:rsidRPr="009533A2">
        <w:rPr>
          <w:b/>
          <w:caps/>
          <w:color w:val="00B0F0"/>
          <w:sz w:val="21"/>
          <w:szCs w:val="21"/>
          <w:u w:val="single"/>
        </w:rPr>
        <w:t>part ii:  project JustiFication</w:t>
      </w:r>
    </w:p>
    <w:p w:rsidR="00E83D4D" w:rsidRPr="009533A2" w:rsidRDefault="00E83D4D" w:rsidP="00323B08">
      <w:pPr>
        <w:spacing w:after="120" w:line="240" w:lineRule="auto"/>
        <w:rPr>
          <w:rFonts w:ascii="Times New Roman" w:hAnsi="Times New Roman" w:cs="Times New Roman"/>
          <w:b/>
          <w:smallCaps/>
          <w:color w:val="auto"/>
          <w:sz w:val="21"/>
          <w:szCs w:val="21"/>
        </w:rPr>
      </w:pPr>
      <w:r w:rsidRPr="009533A2">
        <w:rPr>
          <w:rFonts w:ascii="Times New Roman" w:hAnsi="Times New Roman" w:cs="Times New Roman"/>
          <w:b/>
          <w:smallCaps/>
          <w:color w:val="auto"/>
          <w:sz w:val="21"/>
          <w:szCs w:val="21"/>
        </w:rPr>
        <w:t>A</w:t>
      </w:r>
      <w:r w:rsidRPr="009533A2">
        <w:rPr>
          <w:rFonts w:ascii="Times New Roman" w:hAnsi="Times New Roman" w:cs="Times New Roman"/>
          <w:b/>
          <w:smallCaps/>
          <w:color w:val="auto"/>
          <w:sz w:val="21"/>
          <w:szCs w:val="21"/>
        </w:rPr>
        <w:tab/>
        <w:t>Project Overview</w:t>
      </w:r>
    </w:p>
    <w:p w:rsidR="00E83D4D" w:rsidRPr="009533A2" w:rsidRDefault="00E83D4D" w:rsidP="006B684E">
      <w:pPr>
        <w:spacing w:after="120" w:line="240" w:lineRule="auto"/>
        <w:rPr>
          <w:rFonts w:ascii="Times New Roman" w:hAnsi="Times New Roman" w:cs="Times New Roman"/>
          <w:color w:val="auto"/>
          <w:sz w:val="21"/>
          <w:szCs w:val="21"/>
        </w:rPr>
      </w:pPr>
      <w:r w:rsidRPr="009533A2">
        <w:rPr>
          <w:rFonts w:ascii="Times New Roman" w:hAnsi="Times New Roman" w:cs="Times New Roman"/>
          <w:color w:val="auto"/>
          <w:sz w:val="21"/>
          <w:szCs w:val="21"/>
        </w:rPr>
        <w:t>A.1. Project Description.</w:t>
      </w:r>
    </w:p>
    <w:p w:rsidR="00E83D4D" w:rsidRPr="009533A2" w:rsidRDefault="00E83D4D" w:rsidP="00BF05E5">
      <w:pPr>
        <w:spacing w:after="120" w:line="240" w:lineRule="auto"/>
        <w:jc w:val="both"/>
        <w:rPr>
          <w:rFonts w:ascii="Times New Roman" w:hAnsi="Times New Roman" w:cs="Times New Roman"/>
          <w:color w:val="auto"/>
          <w:sz w:val="21"/>
          <w:szCs w:val="21"/>
        </w:rPr>
      </w:pPr>
      <w:r w:rsidRPr="009533A2">
        <w:rPr>
          <w:rFonts w:ascii="Times New Roman" w:hAnsi="Times New Roman" w:cs="Times New Roman"/>
          <w:color w:val="auto"/>
          <w:sz w:val="21"/>
          <w:szCs w:val="21"/>
        </w:rPr>
        <w:t xml:space="preserve">The project is designed to engineer a paradigm shift from unsustainable to sustainable forest management in </w:t>
      </w:r>
      <w:smartTag w:uri="urn:schemas-microsoft-com:office:smarttags" w:element="place">
        <w:r w:rsidRPr="009533A2">
          <w:rPr>
            <w:rFonts w:ascii="Times New Roman" w:hAnsi="Times New Roman" w:cs="Times New Roman"/>
            <w:color w:val="auto"/>
            <w:sz w:val="21"/>
            <w:szCs w:val="21"/>
          </w:rPr>
          <w:t>NE Armenia</w:t>
        </w:r>
      </w:smartTag>
      <w:r w:rsidRPr="009533A2">
        <w:rPr>
          <w:rFonts w:ascii="Times New Roman" w:hAnsi="Times New Roman" w:cs="Times New Roman"/>
          <w:color w:val="auto"/>
          <w:sz w:val="21"/>
          <w:szCs w:val="21"/>
        </w:rPr>
        <w:t>. The target area contains 65% of Armenia’s forest resources and provides essential ecosystem services including water provision (for urban use and food production), land slide control and carbon storage and sequestration. The forests also provide critical habitats for wildlife and hosts globally important biodiversity. Notwithstanding this significance, the area’s forests suffer from accelerating degradation, which is undermining ecosystem functions and derivative services. This degradation is largely attributed to the ongoing and historic deforestation and overexploitation of forest resources. The project will promote an integrated approach towards fostering sustainable forest management – seeking to balance environmental management with development needs. Amongst other things, it will set-up a multi-sector planning platform to balance competing environmental, social and economic objectives in district development plans and associated investments. In doing so, it will reduce conflicting land-uses and improve the sustainability of forest management so as to maintain the flow of vital ecosystem services and sustain the livelihoods of local (and downstream) communities. The platform will be underpinned by a robust decision support system, monitoring framework so as to inform the planning process, and enforcement. Further, the project will demonstrate sustainable forest management practices – testing new management measures, as needed to reduce environmental stressors.</w:t>
      </w:r>
    </w:p>
    <w:p w:rsidR="00E83D4D" w:rsidRPr="009533A2" w:rsidRDefault="00E83D4D" w:rsidP="00476EC3">
      <w:pPr>
        <w:spacing w:after="120" w:line="240" w:lineRule="auto"/>
        <w:rPr>
          <w:rFonts w:ascii="Times New Roman" w:hAnsi="Times New Roman" w:cs="Times New Roman"/>
          <w:i/>
          <w:color w:val="auto"/>
          <w:sz w:val="21"/>
          <w:szCs w:val="21"/>
        </w:rPr>
      </w:pPr>
      <w:r w:rsidRPr="009533A2">
        <w:rPr>
          <w:rFonts w:ascii="Times New Roman" w:hAnsi="Times New Roman" w:cs="Times New Roman"/>
          <w:i/>
          <w:color w:val="auto"/>
          <w:sz w:val="21"/>
          <w:szCs w:val="21"/>
        </w:rPr>
        <w:t>Global environmental problems.</w:t>
      </w:r>
    </w:p>
    <w:p w:rsidR="00E83D4D" w:rsidRPr="009533A2" w:rsidRDefault="00E83D4D" w:rsidP="00637685">
      <w:pPr>
        <w:spacing w:after="60" w:line="240" w:lineRule="auto"/>
        <w:jc w:val="both"/>
        <w:rPr>
          <w:rFonts w:ascii="Times New Roman" w:hAnsi="Times New Roman" w:cs="Times New Roman"/>
          <w:color w:val="auto"/>
          <w:sz w:val="21"/>
          <w:szCs w:val="21"/>
        </w:rPr>
      </w:pPr>
      <w:r w:rsidRPr="009533A2">
        <w:rPr>
          <w:rFonts w:ascii="Times New Roman" w:hAnsi="Times New Roman" w:cs="Times New Roman"/>
          <w:color w:val="auto"/>
          <w:sz w:val="21"/>
          <w:szCs w:val="21"/>
        </w:rPr>
        <w:t>The Caucasus Ecoregion is one of the Global 200 WWF ecoregions</w:t>
      </w:r>
      <w:r w:rsidRPr="009533A2">
        <w:rPr>
          <w:rFonts w:ascii="Times New Roman" w:hAnsi="Times New Roman" w:cs="Times New Roman"/>
          <w:color w:val="auto"/>
          <w:sz w:val="21"/>
          <w:szCs w:val="24"/>
          <w:vertAlign w:val="superscript"/>
        </w:rPr>
        <w:footnoteReference w:id="4"/>
      </w:r>
      <w:r w:rsidRPr="009533A2">
        <w:rPr>
          <w:rFonts w:ascii="Times New Roman" w:hAnsi="Times New Roman" w:cs="Times New Roman"/>
          <w:color w:val="auto"/>
          <w:sz w:val="21"/>
          <w:szCs w:val="21"/>
        </w:rPr>
        <w:t>, and one of most endangered terrestrial ecosystems</w:t>
      </w:r>
      <w:r w:rsidRPr="009533A2">
        <w:rPr>
          <w:rFonts w:ascii="Times New Roman" w:hAnsi="Times New Roman" w:cs="Times New Roman"/>
          <w:color w:val="auto"/>
          <w:sz w:val="21"/>
          <w:szCs w:val="24"/>
          <w:vertAlign w:val="superscript"/>
        </w:rPr>
        <w:footnoteReference w:id="5"/>
      </w:r>
      <w:r w:rsidRPr="009533A2">
        <w:rPr>
          <w:rFonts w:ascii="Times New Roman" w:hAnsi="Times New Roman" w:cs="Times New Roman"/>
          <w:color w:val="auto"/>
          <w:sz w:val="21"/>
          <w:szCs w:val="21"/>
        </w:rPr>
        <w:t>. The Caucasus Ecoregion covers a total area of 580,000 km</w:t>
      </w:r>
      <w:r w:rsidRPr="009533A2">
        <w:rPr>
          <w:rFonts w:ascii="Times New Roman" w:hAnsi="Times New Roman" w:cs="Times New Roman"/>
          <w:color w:val="auto"/>
          <w:sz w:val="21"/>
          <w:szCs w:val="21"/>
          <w:vertAlign w:val="superscript"/>
        </w:rPr>
        <w:t>2</w:t>
      </w:r>
      <w:r w:rsidRPr="009533A2">
        <w:rPr>
          <w:rFonts w:ascii="Times New Roman" w:hAnsi="Times New Roman" w:cs="Times New Roman"/>
          <w:color w:val="auto"/>
          <w:sz w:val="21"/>
          <w:szCs w:val="21"/>
        </w:rPr>
        <w:t xml:space="preserve"> and consists of six countries, including Armenia. Mountains cover approximately 65% of the Ecoregion. The elaborate mountain relief creates a diversity of climate zones, resulting in large variation among different regions. These numerous microclimates support a range of ecosystems. Forests are the most important ecosystem for biodiversity conservation in the Caucasus, covering nearly 20% of the region. Armenia, in its entirety (29,743km</w:t>
      </w:r>
      <w:r w:rsidRPr="009533A2">
        <w:rPr>
          <w:rFonts w:ascii="Times New Roman" w:hAnsi="Times New Roman" w:cs="Times New Roman"/>
          <w:color w:val="auto"/>
          <w:sz w:val="21"/>
          <w:szCs w:val="21"/>
          <w:vertAlign w:val="superscript"/>
        </w:rPr>
        <w:t>2</w:t>
      </w:r>
      <w:r w:rsidRPr="009533A2">
        <w:rPr>
          <w:rFonts w:ascii="Times New Roman" w:hAnsi="Times New Roman" w:cs="Times New Roman"/>
          <w:color w:val="auto"/>
          <w:sz w:val="21"/>
          <w:szCs w:val="21"/>
        </w:rPr>
        <w:t xml:space="preserve">), forms part of the Caucasus Ecoregion. The country is a typical highland country – the lowest point is at 375 m above sea level, whereas the highest point is 4,095 masl. This altitude and relief peculiarities have important implications to the climate of Armenia, which is notable for its aridity nature. Precipitation ranges between 200 – 1,000 mm per year. The country is roughly divided into 4 </w:t>
      </w:r>
      <w:r w:rsidRPr="009533A2">
        <w:rPr>
          <w:rFonts w:ascii="Times New Roman" w:hAnsi="Times New Roman" w:cs="Times New Roman"/>
          <w:color w:val="auto"/>
          <w:sz w:val="21"/>
          <w:szCs w:val="21"/>
        </w:rPr>
        <w:lastRenderedPageBreak/>
        <w:t>landscape types: Deserts and semi-deserts, Mountain steppes, Forests, thin forests and shrubs, and sub alpine meadows. The forests of Armenia cover 334,100 ha (11.5% of a historic coverage of 30%), which includes 283,600 ha of natural forests and 50,500 ha of plantation forests. Forests of Armenia outside of official protected areas are managed by the state, through “Hayantar” State Non-Commercial Organisation (SNCO</w:t>
      </w:r>
      <w:r w:rsidR="00013142" w:rsidRPr="009533A2">
        <w:rPr>
          <w:rFonts w:ascii="Times New Roman" w:hAnsi="Times New Roman" w:cs="Times New Roman"/>
          <w:color w:val="auto"/>
          <w:sz w:val="21"/>
          <w:szCs w:val="21"/>
        </w:rPr>
        <w:t>– state-owned enterprises</w:t>
      </w:r>
      <w:r w:rsidRPr="009533A2">
        <w:rPr>
          <w:rFonts w:ascii="Times New Roman" w:hAnsi="Times New Roman" w:cs="Times New Roman"/>
          <w:color w:val="auto"/>
          <w:sz w:val="21"/>
          <w:szCs w:val="21"/>
        </w:rPr>
        <w:t>) of the Ministry of Agriculture. Oriental beech (</w:t>
      </w:r>
      <w:r w:rsidRPr="009533A2">
        <w:rPr>
          <w:rFonts w:ascii="Times New Roman" w:hAnsi="Times New Roman" w:cs="Times New Roman"/>
          <w:i/>
          <w:color w:val="auto"/>
          <w:sz w:val="21"/>
          <w:szCs w:val="21"/>
        </w:rPr>
        <w:t>Fagus orientalis</w:t>
      </w:r>
      <w:r w:rsidRPr="009533A2">
        <w:rPr>
          <w:rFonts w:ascii="Times New Roman" w:hAnsi="Times New Roman" w:cs="Times New Roman"/>
          <w:color w:val="auto"/>
          <w:sz w:val="21"/>
          <w:szCs w:val="21"/>
        </w:rPr>
        <w:t>), the Georgian oak (</w:t>
      </w:r>
      <w:r w:rsidRPr="009533A2">
        <w:rPr>
          <w:rFonts w:ascii="Times New Roman" w:hAnsi="Times New Roman" w:cs="Times New Roman"/>
          <w:i/>
          <w:color w:val="auto"/>
          <w:sz w:val="21"/>
          <w:szCs w:val="21"/>
        </w:rPr>
        <w:t>Quercus iberica</w:t>
      </w:r>
      <w:r w:rsidRPr="009533A2">
        <w:rPr>
          <w:rFonts w:ascii="Times New Roman" w:hAnsi="Times New Roman" w:cs="Times New Roman"/>
          <w:color w:val="auto"/>
          <w:sz w:val="21"/>
          <w:szCs w:val="21"/>
        </w:rPr>
        <w:t>), the Oriental oak (</w:t>
      </w:r>
      <w:r w:rsidRPr="009533A2">
        <w:rPr>
          <w:rFonts w:ascii="Times New Roman" w:hAnsi="Times New Roman" w:cs="Times New Roman"/>
          <w:i/>
          <w:color w:val="auto"/>
          <w:sz w:val="21"/>
          <w:szCs w:val="21"/>
        </w:rPr>
        <w:t>Quercus macranthera</w:t>
      </w:r>
      <w:r w:rsidRPr="009533A2">
        <w:rPr>
          <w:rFonts w:ascii="Times New Roman" w:hAnsi="Times New Roman" w:cs="Times New Roman"/>
          <w:color w:val="auto"/>
          <w:sz w:val="21"/>
          <w:szCs w:val="21"/>
        </w:rPr>
        <w:t>), the Caucasian hornbeam (</w:t>
      </w:r>
      <w:r w:rsidRPr="009533A2">
        <w:rPr>
          <w:rFonts w:ascii="Times New Roman" w:hAnsi="Times New Roman" w:cs="Times New Roman"/>
          <w:i/>
          <w:color w:val="auto"/>
          <w:sz w:val="21"/>
          <w:szCs w:val="21"/>
        </w:rPr>
        <w:t>Carpinus caucasica</w:t>
      </w:r>
      <w:r w:rsidRPr="009533A2">
        <w:rPr>
          <w:rFonts w:ascii="Times New Roman" w:hAnsi="Times New Roman" w:cs="Times New Roman"/>
          <w:color w:val="auto"/>
          <w:sz w:val="21"/>
          <w:szCs w:val="21"/>
        </w:rPr>
        <w:t>) and the Pine tree (</w:t>
      </w:r>
      <w:r w:rsidRPr="009533A2">
        <w:rPr>
          <w:rFonts w:ascii="Times New Roman" w:hAnsi="Times New Roman" w:cs="Times New Roman"/>
          <w:i/>
          <w:color w:val="auto"/>
          <w:sz w:val="21"/>
          <w:szCs w:val="21"/>
        </w:rPr>
        <w:t>Pinus kochiana</w:t>
      </w:r>
      <w:r w:rsidRPr="009533A2">
        <w:rPr>
          <w:rFonts w:ascii="Times New Roman" w:hAnsi="Times New Roman" w:cs="Times New Roman"/>
          <w:color w:val="auto"/>
          <w:sz w:val="21"/>
          <w:szCs w:val="21"/>
        </w:rPr>
        <w:t>) form 97.2% of the forested territory in Armenia and 97.2% of the overall forest mass. Armenian forests include a number of endemic and rare species</w:t>
      </w:r>
      <w:r w:rsidRPr="009533A2">
        <w:rPr>
          <w:rFonts w:ascii="Times New Roman" w:hAnsi="Times New Roman" w:cs="Times New Roman"/>
          <w:color w:val="auto"/>
          <w:sz w:val="21"/>
          <w:szCs w:val="24"/>
          <w:vertAlign w:val="superscript"/>
        </w:rPr>
        <w:footnoteReference w:id="6"/>
      </w:r>
      <w:r w:rsidRPr="009533A2">
        <w:rPr>
          <w:rFonts w:ascii="Times New Roman" w:hAnsi="Times New Roman" w:cs="Times New Roman"/>
          <w:color w:val="auto"/>
          <w:sz w:val="21"/>
          <w:szCs w:val="21"/>
        </w:rPr>
        <w:t xml:space="preserve">. Across much of the country, landscapes face moderate to severe deforestation and overgrazing pressures, corresponding in high rates of erosion, increasing soil salinity, lowered soil fertility, and loss of biodiversity. 64% of the country’s forests are located in North East Armenia, which is the target of this project. </w:t>
      </w:r>
      <w:r w:rsidRPr="009533A2">
        <w:rPr>
          <w:rFonts w:ascii="Times New Roman" w:hAnsi="Times New Roman" w:cs="Times New Roman"/>
          <w:color w:val="auto"/>
          <w:sz w:val="21"/>
          <w:szCs w:val="21"/>
          <w:u w:val="single"/>
        </w:rPr>
        <w:t>North-eastern Armenia</w:t>
      </w:r>
      <w:r w:rsidRPr="009533A2">
        <w:rPr>
          <w:rFonts w:ascii="Times New Roman" w:hAnsi="Times New Roman" w:cs="Times New Roman"/>
          <w:color w:val="auto"/>
          <w:sz w:val="21"/>
          <w:szCs w:val="21"/>
        </w:rPr>
        <w:t xml:space="preserve"> is made up of two marzes (provinces), namely Tavush and Lori, covering 649,300 ha. This includes 213,900 ha of Forests</w:t>
      </w:r>
      <w:r w:rsidRPr="009533A2">
        <w:rPr>
          <w:rFonts w:ascii="Times New Roman" w:hAnsi="Times New Roman" w:cs="Times New Roman"/>
          <w:color w:val="auto"/>
          <w:sz w:val="21"/>
          <w:szCs w:val="24"/>
          <w:vertAlign w:val="superscript"/>
        </w:rPr>
        <w:footnoteReference w:id="7"/>
      </w:r>
      <w:r w:rsidRPr="009533A2">
        <w:rPr>
          <w:rFonts w:ascii="Times New Roman" w:hAnsi="Times New Roman" w:cs="Times New Roman"/>
          <w:color w:val="auto"/>
          <w:sz w:val="21"/>
          <w:szCs w:val="21"/>
        </w:rPr>
        <w:t>, with pastures in between. The forestland is state-owned, all pasture and hay-fields are community owned or state owned managed by the marzpets, with arable farmland and perennial plantations being privately owned. Hayantar manages a total area of 220,000 ha of land (with 190,000 ha forests) in the two marzes, through its 10 Forestry Enterprise Branches. These forests comprise mainly production forests. Hayantar provides for the management, forest resource accounting, conservation, protection/control of fires and pests, and rehabilitation and reforestation of forests in areas under their control</w:t>
      </w:r>
      <w:r w:rsidR="002C06D7" w:rsidRPr="009533A2">
        <w:rPr>
          <w:rFonts w:ascii="Times New Roman" w:hAnsi="Times New Roman" w:cs="Times New Roman"/>
          <w:color w:val="auto"/>
          <w:sz w:val="21"/>
          <w:szCs w:val="21"/>
        </w:rPr>
        <w:t xml:space="preserve"> though Hayantar-employed foresters. As all land in forest enterprises is state owned, the local communities have currently limited management responsibilities although grazing rights are leased from Hayantar by individual community members</w:t>
      </w:r>
      <w:r w:rsidRPr="009533A2">
        <w:rPr>
          <w:rFonts w:ascii="Times New Roman" w:hAnsi="Times New Roman" w:cs="Times New Roman"/>
          <w:color w:val="auto"/>
          <w:sz w:val="21"/>
          <w:szCs w:val="21"/>
        </w:rPr>
        <w:t xml:space="preserve">. Nine specially protected areas managed by respective authorities under the Ministry of Nature Protection and Ministry of Agriculture cover 53,645 ha in the Lori and Tavush marzes. </w:t>
      </w:r>
      <w:r w:rsidRPr="009533A2">
        <w:rPr>
          <w:rFonts w:ascii="Times New Roman" w:hAnsi="Times New Roman" w:cs="Times New Roman"/>
          <w:color w:val="auto"/>
          <w:sz w:val="21"/>
          <w:szCs w:val="21"/>
          <w:u w:val="single"/>
        </w:rPr>
        <w:t>Socio-economic consideration:</w:t>
      </w:r>
      <w:r w:rsidRPr="009533A2">
        <w:rPr>
          <w:rFonts w:ascii="Times New Roman" w:hAnsi="Times New Roman" w:cs="Times New Roman"/>
          <w:color w:val="auto"/>
          <w:sz w:val="21"/>
          <w:szCs w:val="21"/>
        </w:rPr>
        <w:t xml:space="preserve"> 67% of Armenia’s 3.018 million population reside in urban areas, whereas 33.2% live in the rural areas. A large percentage of the population (23%) is considered extremely poor, with 32% considered relatively poor.67% of its 3.018 million population reside in urban areas, whereas 33.2% live in the rural areas.</w:t>
      </w:r>
    </w:p>
    <w:p w:rsidR="00E83D4D" w:rsidRPr="009533A2" w:rsidRDefault="00E83D4D" w:rsidP="00367C3B">
      <w:pPr>
        <w:pStyle w:val="NumberedParasinaPIF"/>
        <w:spacing w:after="60"/>
        <w:rPr>
          <w:noProof w:val="0"/>
          <w:sz w:val="21"/>
          <w:szCs w:val="21"/>
        </w:rPr>
      </w:pPr>
      <w:r w:rsidRPr="009533A2">
        <w:rPr>
          <w:noProof w:val="0"/>
          <w:sz w:val="21"/>
          <w:szCs w:val="21"/>
        </w:rPr>
        <w:t xml:space="preserve">The main cause of land and forest degradation within the targeted districts </w:t>
      </w:r>
      <w:r w:rsidRPr="009533A2">
        <w:rPr>
          <w:b/>
          <w:noProof w:val="0"/>
          <w:sz w:val="21"/>
          <w:szCs w:val="21"/>
          <w:u w:val="single"/>
        </w:rPr>
        <w:t>is the deforestation and overexploitation of forest resources</w:t>
      </w:r>
      <w:r w:rsidRPr="009533A2">
        <w:rPr>
          <w:noProof w:val="0"/>
          <w:sz w:val="21"/>
          <w:szCs w:val="21"/>
        </w:rPr>
        <w:t>. Deforestation is mainly the result of a booming construction industry and felling for fuel-wood, and is most serious in the NE Armenia. The rate of deforestation has risen in recent years, despite efforts by the Government to address it. Research suggests that 630,000m</w:t>
      </w:r>
      <w:r w:rsidRPr="009533A2">
        <w:rPr>
          <w:noProof w:val="0"/>
          <w:sz w:val="21"/>
          <w:szCs w:val="21"/>
          <w:vertAlign w:val="superscript"/>
        </w:rPr>
        <w:t>3</w:t>
      </w:r>
      <w:r w:rsidRPr="009533A2">
        <w:rPr>
          <w:noProof w:val="0"/>
          <w:sz w:val="21"/>
          <w:szCs w:val="21"/>
        </w:rPr>
        <w:t xml:space="preserve"> of timber is illegally logged in Armenia annually. With the end of subsidized energy following independence, many rural households turned to wood, resulting in local deforestation. </w:t>
      </w:r>
      <w:r w:rsidR="00BC3B92" w:rsidRPr="009533A2">
        <w:rPr>
          <w:noProof w:val="0"/>
          <w:sz w:val="21"/>
          <w:szCs w:val="21"/>
        </w:rPr>
        <w:t>T</w:t>
      </w:r>
      <w:r w:rsidR="00BC3B92" w:rsidRPr="009533A2">
        <w:rPr>
          <w:color w:val="000000"/>
          <w:sz w:val="21"/>
          <w:szCs w:val="21"/>
          <w:lang w:val="en-GB"/>
        </w:rPr>
        <w:t>he current illegal logging that is taking place is mainly as a result of local communities cutting firewood for household purposes. Although the large scale commercial illegal harvesting cannot altogether be ruled out, it is believed not to be widespread</w:t>
      </w:r>
      <w:r w:rsidR="00A139D6" w:rsidRPr="009533A2">
        <w:rPr>
          <w:noProof w:val="0"/>
          <w:sz w:val="21"/>
          <w:szCs w:val="21"/>
        </w:rPr>
        <w:t xml:space="preserve">. </w:t>
      </w:r>
      <w:r w:rsidRPr="009533A2">
        <w:rPr>
          <w:noProof w:val="0"/>
          <w:sz w:val="21"/>
          <w:szCs w:val="21"/>
        </w:rPr>
        <w:t>Referring to different assessments (no official data available), between 1990 and 2010, Armenia lost 24.5% of its forests resources. As a result of this, Armenia’s forest carbon stock in living forest biomass reduced during the last 20 years by between 13 and 17 million metric tons. Further</w:t>
      </w:r>
      <w:r w:rsidRPr="009533A2">
        <w:rPr>
          <w:noProof w:val="0"/>
          <w:sz w:val="21"/>
          <w:szCs w:val="21"/>
          <w:lang w:val="ru-RU"/>
        </w:rPr>
        <w:t xml:space="preserve">more, uncontrolled </w:t>
      </w:r>
      <w:r w:rsidRPr="009533A2">
        <w:rPr>
          <w:noProof w:val="0"/>
          <w:sz w:val="21"/>
          <w:szCs w:val="21"/>
        </w:rPr>
        <w:t xml:space="preserve">grazing continues to encroach forest lands more and more each year, degrading forest health, structure, quality, and carbon storage potential. Legal and illegal harvesting is taking place on areas which potentially qualify as High Conservation Value Forests. Recent assessments have shown that illegal or poorly managed logging has severely degraded the high quality species structure in accessible areas. This reduces variety and value of the forest, its resilience, water supply and land slide protection functions. Vast area of forests have been deforested and converted into agricultural use. The residual effect of past and present ongoing deforestation and forest degradation, combined with continuing forest fragmentation due to construction of roads, pipelines and railways pose a threat to biodiversity. In other cases, production forest that is not managed for conservation compromises the integrity of adjacent protection forests (e.g. through the creation of access roads and logging trails that facilitate access and poaching). </w:t>
      </w:r>
      <w:r w:rsidR="00EE3440" w:rsidRPr="009533A2">
        <w:rPr>
          <w:noProof w:val="0"/>
          <w:sz w:val="21"/>
          <w:szCs w:val="21"/>
        </w:rPr>
        <w:t xml:space="preserve">This fragmentation results in the genetic isolation of populations of endangered species and reduces habitat quality. </w:t>
      </w:r>
      <w:r w:rsidRPr="009533A2">
        <w:rPr>
          <w:noProof w:val="0"/>
          <w:sz w:val="21"/>
          <w:szCs w:val="21"/>
        </w:rPr>
        <w:t>This is especially true when it comes to large mammals (carnivores) such as brown bear (</w:t>
      </w:r>
      <w:r w:rsidRPr="009533A2">
        <w:rPr>
          <w:i/>
          <w:noProof w:val="0"/>
          <w:sz w:val="21"/>
          <w:szCs w:val="21"/>
        </w:rPr>
        <w:t>Ursus arctos</w:t>
      </w:r>
      <w:r w:rsidRPr="009533A2">
        <w:rPr>
          <w:noProof w:val="0"/>
          <w:sz w:val="21"/>
          <w:szCs w:val="21"/>
        </w:rPr>
        <w:t>) and lynx (</w:t>
      </w:r>
      <w:r w:rsidRPr="009533A2">
        <w:rPr>
          <w:i/>
          <w:noProof w:val="0"/>
          <w:sz w:val="21"/>
          <w:szCs w:val="21"/>
        </w:rPr>
        <w:t>Lynx lynx</w:t>
      </w:r>
      <w:r w:rsidRPr="009533A2">
        <w:rPr>
          <w:noProof w:val="0"/>
          <w:sz w:val="21"/>
          <w:szCs w:val="21"/>
        </w:rPr>
        <w:t xml:space="preserve">) which need large habitat areas for the long-term conservation. Furthermore, forest fragmentation severely undermines the quality and quantities of ecosystem services such as water provision and regulation, soil conservation and carbon sequestration. Large area of grasslands in between the forests, have been degraded in NE Armenia (some 20,000 hectares), bringing about soil compaction, erosion, loss of vegetation cover, and a drop in net primary production and encroaching on neighboring forests. </w:t>
      </w:r>
      <w:r w:rsidR="00EE3440" w:rsidRPr="009533A2">
        <w:rPr>
          <w:noProof w:val="0"/>
          <w:sz w:val="21"/>
          <w:szCs w:val="21"/>
        </w:rPr>
        <w:t>The urban development industry</w:t>
      </w:r>
      <w:r w:rsidR="00524387" w:rsidRPr="009533A2">
        <w:rPr>
          <w:noProof w:val="0"/>
          <w:sz w:val="21"/>
          <w:szCs w:val="21"/>
        </w:rPr>
        <w:t>, the agricultural</w:t>
      </w:r>
      <w:r w:rsidR="00EE3440" w:rsidRPr="009533A2">
        <w:rPr>
          <w:noProof w:val="0"/>
          <w:sz w:val="21"/>
          <w:szCs w:val="21"/>
        </w:rPr>
        <w:t xml:space="preserve"> sector and the forestry sector do not currently incorporate into their operations and planning the conservation value of forests or ecosystem carrying capacity. </w:t>
      </w:r>
    </w:p>
    <w:p w:rsidR="00E83D4D" w:rsidRPr="009533A2" w:rsidRDefault="00E83D4D" w:rsidP="00073EAD">
      <w:pPr>
        <w:pStyle w:val="aaa"/>
        <w:jc w:val="both"/>
      </w:pPr>
      <w:r w:rsidRPr="009533A2">
        <w:t xml:space="preserve">Baseline land and forest use planning and management system </w:t>
      </w:r>
    </w:p>
    <w:p w:rsidR="00E83D4D" w:rsidRPr="009533A2" w:rsidRDefault="00E83D4D" w:rsidP="00901363">
      <w:pPr>
        <w:pStyle w:val="NumberedParasinaPIF"/>
        <w:spacing w:before="80"/>
        <w:rPr>
          <w:noProof w:val="0"/>
          <w:sz w:val="21"/>
          <w:szCs w:val="21"/>
        </w:rPr>
      </w:pPr>
      <w:r w:rsidRPr="009533A2">
        <w:rPr>
          <w:noProof w:val="0"/>
          <w:sz w:val="21"/>
          <w:szCs w:val="21"/>
        </w:rPr>
        <w:t>Currently, in Armenia, the land resources management is being implemented on the levels of national administration, territorial (</w:t>
      </w:r>
      <w:r w:rsidRPr="009533A2">
        <w:rPr>
          <w:i/>
          <w:noProof w:val="0"/>
          <w:sz w:val="21"/>
          <w:szCs w:val="21"/>
        </w:rPr>
        <w:t>Marz</w:t>
      </w:r>
      <w:r w:rsidRPr="009533A2">
        <w:rPr>
          <w:noProof w:val="0"/>
          <w:sz w:val="21"/>
          <w:szCs w:val="21"/>
        </w:rPr>
        <w:t>) administration and local self-governance (communities). Some powers and functions are located at one sphere of government, while others are shared.</w:t>
      </w:r>
    </w:p>
    <w:p w:rsidR="00E83D4D" w:rsidRPr="009533A2" w:rsidRDefault="00E83D4D" w:rsidP="00577842">
      <w:pPr>
        <w:pStyle w:val="NumberedParasinaPIF"/>
        <w:numPr>
          <w:ilvl w:val="0"/>
          <w:numId w:val="41"/>
        </w:numPr>
        <w:rPr>
          <w:noProof w:val="0"/>
          <w:sz w:val="21"/>
          <w:szCs w:val="21"/>
        </w:rPr>
      </w:pPr>
      <w:r w:rsidRPr="009533A2">
        <w:rPr>
          <w:noProof w:val="0"/>
          <w:sz w:val="21"/>
          <w:szCs w:val="21"/>
          <w:u w:val="single"/>
        </w:rPr>
        <w:t>Regulation:</w:t>
      </w:r>
      <w:r w:rsidRPr="009533A2">
        <w:rPr>
          <w:noProof w:val="0"/>
          <w:sz w:val="21"/>
          <w:szCs w:val="21"/>
        </w:rPr>
        <w:t xml:space="preserve"> At national level, under the mandate of the respective Ministries, and at Territorial (Marz) level, the main institutions responsible for land use regulation are the Ministry of Nature Protection (MNP) and Ministry of Agriculture (MoA. MNP is responsible for policy development and implementation in the areas of environmental protection and sustainable use </w:t>
      </w:r>
      <w:r w:rsidRPr="009533A2">
        <w:rPr>
          <w:noProof w:val="0"/>
          <w:sz w:val="21"/>
          <w:szCs w:val="21"/>
        </w:rPr>
        <w:lastRenderedPageBreak/>
        <w:t xml:space="preserve">of natural resources and the development of environmental standards and norms. The State Environmental Inspectorate under the Ministry of Nature Protection monitors the sustainable use of fauna and flora in and outside specially protected areas. MoA is responsible for elaboration and implementation of policies in the field of agriculture, forestry and food provision management. </w:t>
      </w:r>
      <w:r w:rsidRPr="009533A2">
        <w:rPr>
          <w:sz w:val="21"/>
          <w:szCs w:val="21"/>
        </w:rPr>
        <w:t>The Forest State Monitoring Centre, under MoA, monitors the implementation of Forest Management Plans</w:t>
      </w:r>
      <w:r w:rsidRPr="009533A2">
        <w:rPr>
          <w:noProof w:val="0"/>
          <w:sz w:val="21"/>
          <w:szCs w:val="21"/>
        </w:rPr>
        <w:t>.</w:t>
      </w:r>
    </w:p>
    <w:p w:rsidR="00E83D4D" w:rsidRPr="009533A2" w:rsidRDefault="00E83D4D" w:rsidP="00577842">
      <w:pPr>
        <w:pStyle w:val="NumberedParasinaPIF"/>
        <w:numPr>
          <w:ilvl w:val="0"/>
          <w:numId w:val="41"/>
        </w:numPr>
        <w:rPr>
          <w:noProof w:val="0"/>
          <w:sz w:val="21"/>
          <w:szCs w:val="21"/>
        </w:rPr>
      </w:pPr>
      <w:r w:rsidRPr="009533A2">
        <w:rPr>
          <w:noProof w:val="0"/>
          <w:sz w:val="21"/>
          <w:szCs w:val="21"/>
          <w:u w:val="single"/>
        </w:rPr>
        <w:t>Planning:</w:t>
      </w:r>
      <w:r w:rsidRPr="009533A2">
        <w:rPr>
          <w:noProof w:val="0"/>
          <w:sz w:val="21"/>
          <w:szCs w:val="21"/>
        </w:rPr>
        <w:t xml:space="preserve"> Land Use Planning takes place over an administration territory, normally of a marz. The resulting master plan classifies the land into 15 different land use classes, including Nature Protection Land, Forestland and Agricultural Land. These Master Plans are further detailed by the development of rural land zoning and use schemes. Agricultural land is further classified into cultivated lands, long-term plantations, hayfields, pastures and other soil types. Forestland</w:t>
      </w:r>
      <w:r w:rsidRPr="009533A2">
        <w:rPr>
          <w:rStyle w:val="FootnoteReference"/>
          <w:noProof w:val="0"/>
          <w:sz w:val="21"/>
          <w:szCs w:val="21"/>
        </w:rPr>
        <w:footnoteReference w:id="8"/>
      </w:r>
      <w:r w:rsidRPr="009533A2">
        <w:rPr>
          <w:noProof w:val="0"/>
          <w:sz w:val="21"/>
          <w:szCs w:val="21"/>
        </w:rPr>
        <w:t xml:space="preserve"> is divided into forests, hayfields, pastures, bushes and other lands. Land zoning and use schemes for residential areas are also developed. The corresponding authorized body (Ministry of Agriculture and Ministry of Urban Development) have the overall mandate of assigning the target use of land within its jurisdiction. Due to lack of funding emphasis are placed on the development of Land zoning and use schemes in residential areas. Armenia’s forests are again further divided into forests of production significance, forests of protection significance</w:t>
      </w:r>
      <w:r w:rsidRPr="009533A2">
        <w:rPr>
          <w:rStyle w:val="FootnoteReference"/>
          <w:noProof w:val="0"/>
          <w:sz w:val="21"/>
          <w:szCs w:val="21"/>
        </w:rPr>
        <w:footnoteReference w:id="9"/>
      </w:r>
      <w:r w:rsidRPr="009533A2">
        <w:rPr>
          <w:noProof w:val="0"/>
          <w:sz w:val="21"/>
          <w:szCs w:val="21"/>
        </w:rPr>
        <w:t xml:space="preserve"> and forest of special significance</w:t>
      </w:r>
      <w:r w:rsidRPr="009533A2">
        <w:rPr>
          <w:rStyle w:val="FootnoteReference"/>
          <w:noProof w:val="0"/>
          <w:sz w:val="21"/>
          <w:szCs w:val="21"/>
        </w:rPr>
        <w:footnoteReference w:id="10"/>
      </w:r>
      <w:r w:rsidRPr="009533A2">
        <w:rPr>
          <w:noProof w:val="0"/>
          <w:sz w:val="21"/>
          <w:szCs w:val="21"/>
        </w:rPr>
        <w:t xml:space="preserve"> in the Forest Management Plans of the forestland. The use of forest in these zones is unclear, as well as the criteria for its selection except that it will be determined during forest management planning. Logging (forest regeneration cuttings) is however be prohibited in forests of protection significance. </w:t>
      </w:r>
    </w:p>
    <w:p w:rsidR="00E83D4D" w:rsidRPr="009533A2" w:rsidRDefault="00E83D4D" w:rsidP="00577842">
      <w:pPr>
        <w:pStyle w:val="NumberedParasinaPIF"/>
        <w:numPr>
          <w:ilvl w:val="0"/>
          <w:numId w:val="41"/>
        </w:numPr>
        <w:rPr>
          <w:noProof w:val="0"/>
          <w:sz w:val="21"/>
          <w:szCs w:val="21"/>
        </w:rPr>
      </w:pPr>
      <w:r w:rsidRPr="009533A2">
        <w:rPr>
          <w:noProof w:val="0"/>
          <w:sz w:val="21"/>
          <w:szCs w:val="21"/>
          <w:u w:val="single"/>
        </w:rPr>
        <w:t>Enforcement:</w:t>
      </w:r>
      <w:r w:rsidRPr="009533A2">
        <w:rPr>
          <w:noProof w:val="0"/>
          <w:sz w:val="21"/>
          <w:szCs w:val="21"/>
        </w:rPr>
        <w:t xml:space="preserve"> The self-governing authority (community council), through its police, prevents and eliminates illegal use of land within the administrative borders of the community, and, according to cases envisaged by law, imposes fines on entities violating the law. The Marzpet prevents, anticipates and eliminates illegal land-use outside the areas of the community land; assigns fines, in cases envisaged by the law. It also monitors compliance to the community land zoning and use schemes and basic plans through agrarian and environmental inspectors. Hayantar enforces law in the Forest Enterprise Branches and the SNCOs responsible for management of the special protected areas enforce the law in these areas.</w:t>
      </w:r>
    </w:p>
    <w:p w:rsidR="00E83D4D" w:rsidRPr="009533A2" w:rsidRDefault="00E83D4D" w:rsidP="00316C7C">
      <w:pPr>
        <w:pStyle w:val="NumberedParasinaPIF"/>
        <w:spacing w:before="80" w:after="80"/>
        <w:rPr>
          <w:i/>
          <w:noProof w:val="0"/>
          <w:sz w:val="21"/>
          <w:szCs w:val="21"/>
        </w:rPr>
      </w:pPr>
      <w:r w:rsidRPr="009533A2">
        <w:rPr>
          <w:i/>
          <w:noProof w:val="0"/>
          <w:sz w:val="21"/>
          <w:szCs w:val="21"/>
        </w:rPr>
        <w:t>Baseline projects and resources that will be committed from them</w:t>
      </w:r>
    </w:p>
    <w:p w:rsidR="00E83D4D" w:rsidRPr="009533A2" w:rsidRDefault="00E83D4D" w:rsidP="00BF6677">
      <w:pPr>
        <w:pStyle w:val="NumberedParasinaPIF"/>
        <w:rPr>
          <w:noProof w:val="0"/>
          <w:sz w:val="21"/>
          <w:szCs w:val="21"/>
        </w:rPr>
      </w:pPr>
      <w:r w:rsidRPr="009533A2">
        <w:rPr>
          <w:noProof w:val="0"/>
          <w:sz w:val="21"/>
          <w:szCs w:val="21"/>
        </w:rPr>
        <w:t xml:space="preserve">The country will commit to natural resource management in NE Armenia and will invest in excess of US$20 million in Natural Resource Management in NE Armenia over the project period. This can be loosely divided into four areas; that related to regulation, planning and enforcement and to changing the production practices that is driving land degradation, deforestation and biodiversity loss. </w:t>
      </w:r>
    </w:p>
    <w:p w:rsidR="00E83D4D" w:rsidRPr="009533A2" w:rsidRDefault="00E83D4D" w:rsidP="000741F7">
      <w:pPr>
        <w:pStyle w:val="NumberedParasinaPIF"/>
        <w:rPr>
          <w:noProof w:val="0"/>
          <w:sz w:val="21"/>
          <w:szCs w:val="21"/>
        </w:rPr>
      </w:pPr>
      <w:r w:rsidRPr="009533A2">
        <w:rPr>
          <w:noProof w:val="0"/>
          <w:sz w:val="21"/>
          <w:szCs w:val="21"/>
          <w:u w:val="single"/>
        </w:rPr>
        <w:t>Regulation:</w:t>
      </w:r>
      <w:r w:rsidRPr="009533A2">
        <w:rPr>
          <w:noProof w:val="0"/>
          <w:sz w:val="21"/>
          <w:szCs w:val="21"/>
        </w:rPr>
        <w:t xml:space="preserve"> The Ministry of Nature Protection will invest in excess of US$ 6.7 million over the project period for the development of national environmental standards, specifications and guidelines regarding environmental practices and management. In addition, the State Environmental Inspectorate will invest US$ 1.9 million over the project period monitoring use of fauna and flora. The Ministry of Agriculture will invest in excess of US$ 0.4 million over the project period for regulation formulation and compliance monitoring role of forestry in the two marzes. </w:t>
      </w:r>
      <w:r w:rsidRPr="009533A2">
        <w:rPr>
          <w:sz w:val="21"/>
          <w:szCs w:val="21"/>
        </w:rPr>
        <w:t xml:space="preserve">Forest State Monitoring Centre </w:t>
      </w:r>
      <w:r w:rsidRPr="009533A2">
        <w:rPr>
          <w:noProof w:val="0"/>
          <w:sz w:val="21"/>
          <w:szCs w:val="21"/>
        </w:rPr>
        <w:t>will also invest US$ 0.25 million over the project period on monitoring forest management activities, focusing on logging operations in line with the agreed management plans. The baseline activities on regulations and policies currently do not have sufficient resources for introduction of standards on HCVF, nor for reconciling economic demands with ecosystem carrying capacity.</w:t>
      </w:r>
    </w:p>
    <w:p w:rsidR="00E83D4D" w:rsidRPr="009533A2" w:rsidRDefault="00E83D4D" w:rsidP="000741F7">
      <w:pPr>
        <w:pStyle w:val="NumberedParasinaPIF"/>
        <w:rPr>
          <w:noProof w:val="0"/>
          <w:sz w:val="21"/>
          <w:szCs w:val="21"/>
        </w:rPr>
      </w:pPr>
      <w:r w:rsidRPr="009533A2">
        <w:rPr>
          <w:noProof w:val="0"/>
          <w:sz w:val="21"/>
          <w:szCs w:val="21"/>
          <w:u w:val="single"/>
        </w:rPr>
        <w:t>Planning:</w:t>
      </w:r>
      <w:r w:rsidRPr="009533A2">
        <w:rPr>
          <w:noProof w:val="0"/>
          <w:sz w:val="21"/>
          <w:szCs w:val="21"/>
        </w:rPr>
        <w:t xml:space="preserve"> An estimated US$200,000 will be spent in the NE Armenia by the Ministry of Urban Development on the preparation and review of Land zoning and use schemes in residential areas. The Ministries of Agriculture and Nature Protection will invest in excess of US$ 3 million over the project period in assistance to rural land zoning and use schemes, forest and pasture management planning. This includes funds earmarked for the NE Armenia under the World Bank Community Agricultural Resource Management and Competiveness Project for Pasture/Livestock Management Plans. At the community level, approximately US$ 0.5 million will be allocated by self-governing bodies to support community development plans and development of land use schemes. The funds above are focusing on agriculture and livestock, forest use is not a primary focal area. At the same time, Hayantar SNCO will invest US$ 0.1 million over the project period in updating the Forest Management Plans of the ten Forest Enterprise Branches, as needed, however these resources will be dedicated primarily to inventory of economic timber value and will not be sufficient to assess ecosystem values of forests or introduce carbon accounting. </w:t>
      </w:r>
    </w:p>
    <w:p w:rsidR="00E83D4D" w:rsidRPr="009533A2" w:rsidRDefault="00E83D4D" w:rsidP="000741F7">
      <w:pPr>
        <w:pStyle w:val="NumberedParasinaPIF"/>
        <w:rPr>
          <w:noProof w:val="0"/>
          <w:sz w:val="21"/>
          <w:szCs w:val="21"/>
        </w:rPr>
      </w:pPr>
      <w:r w:rsidRPr="009533A2">
        <w:rPr>
          <w:noProof w:val="0"/>
          <w:sz w:val="21"/>
          <w:szCs w:val="21"/>
          <w:u w:val="single"/>
        </w:rPr>
        <w:t>Enforcement:</w:t>
      </w:r>
      <w:r w:rsidRPr="009533A2">
        <w:rPr>
          <w:noProof w:val="0"/>
          <w:sz w:val="21"/>
          <w:szCs w:val="21"/>
        </w:rPr>
        <w:t xml:space="preserve"> The two marzes and the respective self-governing authorities will invest approximately US$ 0.5 million</w:t>
      </w:r>
      <w:r w:rsidRPr="009533A2">
        <w:rPr>
          <w:rStyle w:val="FootnoteReference"/>
          <w:noProof w:val="0"/>
          <w:sz w:val="21"/>
          <w:szCs w:val="21"/>
        </w:rPr>
        <w:footnoteReference w:id="11"/>
      </w:r>
      <w:r w:rsidRPr="009533A2">
        <w:rPr>
          <w:noProof w:val="0"/>
          <w:sz w:val="21"/>
          <w:szCs w:val="21"/>
        </w:rPr>
        <w:t xml:space="preserve"> in their police force which will among other duties perform environmental enforcement. Hayantar SNCO will invest US$ 0.7 million over the project period in enforcement of forest legislation and forest management plans. The various SNCOs involved in enforcement of legislation in specially protected areas will invest in excess of US$ 1 million over the project period. This enforcement system is based on fines for illegal activities based on the current land-use plans; if the project introduces integrated land use planning and HCVF, additional resources for training of enforcement agents in compliance with new land use regimes and HCVF principles, will be required, which would not be available from the baseline financing.</w:t>
      </w:r>
    </w:p>
    <w:p w:rsidR="00E83D4D" w:rsidRPr="009533A2" w:rsidRDefault="00E83D4D" w:rsidP="000741F7">
      <w:pPr>
        <w:pStyle w:val="NumberedParasinaPIF"/>
        <w:rPr>
          <w:noProof w:val="0"/>
          <w:sz w:val="21"/>
          <w:szCs w:val="21"/>
          <w:u w:val="single"/>
        </w:rPr>
      </w:pPr>
      <w:r w:rsidRPr="009533A2">
        <w:rPr>
          <w:noProof w:val="0"/>
          <w:sz w:val="21"/>
          <w:szCs w:val="21"/>
          <w:u w:val="single"/>
        </w:rPr>
        <w:lastRenderedPageBreak/>
        <w:t>Production Practices:</w:t>
      </w:r>
    </w:p>
    <w:p w:rsidR="00E83D4D" w:rsidRPr="009533A2" w:rsidRDefault="00E83D4D" w:rsidP="004E6604">
      <w:pPr>
        <w:pStyle w:val="NumberedParasinaPIF"/>
        <w:numPr>
          <w:ilvl w:val="0"/>
          <w:numId w:val="37"/>
        </w:numPr>
        <w:spacing w:after="60"/>
        <w:rPr>
          <w:noProof w:val="0"/>
          <w:sz w:val="21"/>
          <w:szCs w:val="21"/>
        </w:rPr>
      </w:pPr>
      <w:r w:rsidRPr="009533A2">
        <w:rPr>
          <w:noProof w:val="0"/>
          <w:sz w:val="21"/>
          <w:szCs w:val="21"/>
          <w:u w:val="single"/>
        </w:rPr>
        <w:t>Pasture Land:</w:t>
      </w:r>
      <w:r w:rsidRPr="009533A2">
        <w:rPr>
          <w:noProof w:val="0"/>
          <w:sz w:val="21"/>
          <w:szCs w:val="21"/>
        </w:rPr>
        <w:t xml:space="preserve"> The World Bank Community Agricultural Resource Management and Competiveness Project will invest US$ 13.06 million (of which US$2 million is potentially earmarked for NE Armenia) over the project period in setting up a Community Fund to implement the Pasture/Livestock management plans to be developed under the same project. That project, however, is not focusing on forests as a primary ecosystem.</w:t>
      </w:r>
    </w:p>
    <w:p w:rsidR="00E83D4D" w:rsidRPr="009533A2" w:rsidRDefault="00E83D4D" w:rsidP="000741F7">
      <w:pPr>
        <w:pStyle w:val="NumberedParasinaPIF"/>
        <w:numPr>
          <w:ilvl w:val="0"/>
          <w:numId w:val="37"/>
        </w:numPr>
        <w:rPr>
          <w:noProof w:val="0"/>
          <w:sz w:val="21"/>
          <w:szCs w:val="21"/>
        </w:rPr>
      </w:pPr>
      <w:r w:rsidRPr="009533A2">
        <w:rPr>
          <w:noProof w:val="0"/>
          <w:sz w:val="21"/>
          <w:szCs w:val="21"/>
          <w:u w:val="single"/>
        </w:rPr>
        <w:t>Forest Management:</w:t>
      </w:r>
      <w:r w:rsidRPr="009533A2">
        <w:rPr>
          <w:noProof w:val="0"/>
          <w:sz w:val="21"/>
          <w:szCs w:val="21"/>
        </w:rPr>
        <w:t xml:space="preserve"> Hayantar SNCO will invest an amount of US$ 1.2 million in afforestation and reforestation activities over project period. </w:t>
      </w:r>
      <w:r w:rsidR="00690241" w:rsidRPr="009533A2">
        <w:rPr>
          <w:noProof w:val="0"/>
          <w:sz w:val="21"/>
          <w:szCs w:val="21"/>
        </w:rPr>
        <w:t>These funds</w:t>
      </w:r>
      <w:r w:rsidR="0056417B" w:rsidRPr="009533A2">
        <w:rPr>
          <w:noProof w:val="0"/>
          <w:sz w:val="21"/>
          <w:szCs w:val="21"/>
        </w:rPr>
        <w:t xml:space="preserve"> will however only reforest 1,000 hectares at it</w:t>
      </w:r>
      <w:r w:rsidR="00690241" w:rsidRPr="009533A2">
        <w:rPr>
          <w:noProof w:val="0"/>
          <w:sz w:val="21"/>
          <w:szCs w:val="21"/>
        </w:rPr>
        <w:t>s</w:t>
      </w:r>
      <w:r w:rsidR="0056417B" w:rsidRPr="009533A2">
        <w:rPr>
          <w:noProof w:val="0"/>
          <w:sz w:val="21"/>
          <w:szCs w:val="21"/>
        </w:rPr>
        <w:t xml:space="preserve"> most, on state land with little involvement of the local communities.</w:t>
      </w:r>
      <w:r w:rsidR="00690241" w:rsidRPr="009533A2">
        <w:rPr>
          <w:noProof w:val="0"/>
          <w:sz w:val="21"/>
          <w:szCs w:val="21"/>
        </w:rPr>
        <w:t xml:space="preserve"> The focus will be on increasing forest cover, rather than restoration of ecosystem services and increasing connectivity among forest stands.</w:t>
      </w:r>
    </w:p>
    <w:p w:rsidR="00690241" w:rsidRPr="009533A2" w:rsidRDefault="00690241" w:rsidP="00690241">
      <w:pPr>
        <w:pStyle w:val="NumberedParasinaPIF"/>
        <w:rPr>
          <w:noProof w:val="0"/>
          <w:sz w:val="21"/>
          <w:szCs w:val="21"/>
        </w:rPr>
      </w:pPr>
    </w:p>
    <w:p w:rsidR="00690241" w:rsidRPr="009533A2" w:rsidRDefault="00690241" w:rsidP="00690241">
      <w:pPr>
        <w:pStyle w:val="NumberedParasinaPIF"/>
        <w:rPr>
          <w:noProof w:val="0"/>
          <w:sz w:val="21"/>
          <w:szCs w:val="21"/>
        </w:rPr>
      </w:pPr>
    </w:p>
    <w:p w:rsidR="00690241" w:rsidRPr="009533A2" w:rsidRDefault="00690241" w:rsidP="00690241">
      <w:pPr>
        <w:pStyle w:val="NumberedParasinaPIF"/>
        <w:rPr>
          <w:noProof w:val="0"/>
          <w:sz w:val="21"/>
          <w:szCs w:val="21"/>
        </w:rPr>
      </w:pPr>
    </w:p>
    <w:p w:rsidR="00E83D4D" w:rsidRPr="009533A2" w:rsidRDefault="00E83D4D" w:rsidP="008C1419">
      <w:pPr>
        <w:pStyle w:val="aaa"/>
        <w:jc w:val="both"/>
        <w:rPr>
          <w:u w:val="single"/>
          <w:lang w:bidi="th-TH"/>
        </w:rPr>
      </w:pPr>
      <w:r w:rsidRPr="009533A2">
        <w:t>Root causes and barriers that need to be addressed</w:t>
      </w:r>
    </w:p>
    <w:p w:rsidR="00E83D4D" w:rsidRPr="009533A2" w:rsidRDefault="00E83D4D" w:rsidP="008C1419">
      <w:pPr>
        <w:pStyle w:val="NumberedParasinaPIF"/>
        <w:numPr>
          <w:ilvl w:val="0"/>
          <w:numId w:val="29"/>
        </w:numPr>
        <w:spacing w:before="80" w:after="60"/>
        <w:ind w:left="0" w:firstLine="0"/>
        <w:rPr>
          <w:b/>
          <w:noProof w:val="0"/>
          <w:sz w:val="21"/>
          <w:szCs w:val="21"/>
        </w:rPr>
      </w:pPr>
      <w:r w:rsidRPr="009533A2">
        <w:rPr>
          <w:b/>
          <w:noProof w:val="0"/>
          <w:sz w:val="21"/>
          <w:szCs w:val="21"/>
        </w:rPr>
        <w:t xml:space="preserve">The long term solution sought by the project </w:t>
      </w:r>
      <w:r w:rsidRPr="009533A2">
        <w:rPr>
          <w:noProof w:val="0"/>
          <w:sz w:val="21"/>
          <w:szCs w:val="21"/>
        </w:rPr>
        <w:t>is to change the trajectory of the baseline approaches in order to facilitate a transformative shift from unsustainable to integrated sustainable land and forest management. There are, however, two major barriers to implementing this solution, as described below: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75"/>
      </w:tblGrid>
      <w:tr w:rsidR="00E83D4D" w:rsidRPr="009533A2" w:rsidTr="004A7299">
        <w:tc>
          <w:tcPr>
            <w:tcW w:w="5000" w:type="pct"/>
          </w:tcPr>
          <w:p w:rsidR="00E83D4D" w:rsidRPr="009533A2" w:rsidRDefault="00E83D4D" w:rsidP="004A7299">
            <w:pPr>
              <w:pStyle w:val="NumberedParasinaPIF"/>
              <w:spacing w:after="60"/>
              <w:rPr>
                <w:i/>
                <w:noProof w:val="0"/>
                <w:szCs w:val="20"/>
              </w:rPr>
            </w:pPr>
            <w:r w:rsidRPr="009533A2">
              <w:rPr>
                <w:i/>
                <w:noProof w:val="0"/>
                <w:szCs w:val="20"/>
              </w:rPr>
              <w:t>Inadequate legal, regulatory and institutional framework for Integrated Natural Resource Management:</w:t>
            </w:r>
          </w:p>
          <w:p w:rsidR="00E83D4D" w:rsidRPr="009533A2" w:rsidRDefault="00E83D4D" w:rsidP="001E5EA1">
            <w:pPr>
              <w:spacing w:after="60" w:line="240" w:lineRule="auto"/>
              <w:jc w:val="both"/>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Under the current land use planning taking place in Armenia, allocation of land for economic uses and the regimes of use do not take into consideration ecosystem services, except in the allocation of land as Specially Protected Areas. </w:t>
            </w:r>
            <w:r w:rsidR="00EE3440" w:rsidRPr="009533A2">
              <w:rPr>
                <w:rFonts w:ascii="Times New Roman" w:hAnsi="Times New Roman" w:cs="Times New Roman"/>
                <w:color w:val="auto"/>
                <w:sz w:val="20"/>
                <w:szCs w:val="20"/>
              </w:rPr>
              <w:t xml:space="preserve">Currently physical planning (urban development), road infrastructure planning, </w:t>
            </w:r>
            <w:r w:rsidR="001E5EA1" w:rsidRPr="009533A2">
              <w:rPr>
                <w:rFonts w:ascii="Times New Roman" w:hAnsi="Times New Roman" w:cs="Times New Roman"/>
                <w:color w:val="000000"/>
                <w:sz w:val="20"/>
                <w:szCs w:val="20"/>
                <w:lang w:val="en-GB"/>
              </w:rPr>
              <w:t>agricultural land planning</w:t>
            </w:r>
            <w:r w:rsidR="001E5EA1" w:rsidRPr="009533A2">
              <w:rPr>
                <w:color w:val="000000"/>
                <w:lang w:val="en-GB"/>
              </w:rPr>
              <w:t xml:space="preserve"> </w:t>
            </w:r>
            <w:r w:rsidR="00EE3440" w:rsidRPr="009533A2">
              <w:rPr>
                <w:rFonts w:ascii="Times New Roman" w:hAnsi="Times New Roman" w:cs="Times New Roman"/>
                <w:color w:val="auto"/>
                <w:sz w:val="20"/>
                <w:szCs w:val="20"/>
              </w:rPr>
              <w:t xml:space="preserve">and the planning in the forestry industry itself </w:t>
            </w:r>
            <w:r w:rsidR="001E5EA1" w:rsidRPr="009533A2">
              <w:rPr>
                <w:rFonts w:ascii="Times New Roman" w:hAnsi="Times New Roman" w:cs="Times New Roman"/>
                <w:color w:val="auto"/>
                <w:sz w:val="20"/>
                <w:szCs w:val="20"/>
              </w:rPr>
              <w:t>are</w:t>
            </w:r>
            <w:r w:rsidR="00EE3440" w:rsidRPr="009533A2">
              <w:rPr>
                <w:rFonts w:ascii="Times New Roman" w:hAnsi="Times New Roman" w:cs="Times New Roman"/>
                <w:color w:val="auto"/>
                <w:sz w:val="20"/>
                <w:szCs w:val="20"/>
              </w:rPr>
              <w:t xml:space="preserve"> parallel and totally decoupled from nature conservation planning and no ecosystem values are taken into account. </w:t>
            </w:r>
            <w:r w:rsidRPr="009533A2">
              <w:rPr>
                <w:rFonts w:ascii="Times New Roman" w:hAnsi="Times New Roman" w:cs="Times New Roman"/>
                <w:color w:val="auto"/>
                <w:kern w:val="0"/>
                <w:sz w:val="20"/>
                <w:szCs w:val="20"/>
              </w:rPr>
              <w:t xml:space="preserve">This greatly diminishes the value that the ecosystems goods and services can provide. Further, once land is allocated as forest land or agricultural land no further consideration is given towards the connectivity between and within the ecosystem services and biodiversity habitats within the broader landscape, leading to increased fragmentation and loss of </w:t>
            </w:r>
            <w:r w:rsidR="00013142" w:rsidRPr="009533A2">
              <w:rPr>
                <w:rFonts w:ascii="Times New Roman" w:hAnsi="Times New Roman" w:cs="Times New Roman"/>
                <w:color w:val="auto"/>
                <w:kern w:val="0"/>
                <w:sz w:val="20"/>
                <w:szCs w:val="20"/>
              </w:rPr>
              <w:t>Ecosystem Goods and Services</w:t>
            </w:r>
            <w:r w:rsidR="00AD309C" w:rsidRPr="009533A2">
              <w:rPr>
                <w:rFonts w:ascii="Times New Roman" w:hAnsi="Times New Roman" w:cs="Times New Roman"/>
                <w:color w:val="auto"/>
                <w:kern w:val="0"/>
                <w:sz w:val="20"/>
                <w:szCs w:val="20"/>
              </w:rPr>
              <w:t xml:space="preserve"> </w:t>
            </w:r>
            <w:r w:rsidRPr="009533A2">
              <w:rPr>
                <w:rFonts w:ascii="Times New Roman" w:hAnsi="Times New Roman" w:cs="Times New Roman"/>
                <w:color w:val="auto"/>
                <w:kern w:val="0"/>
                <w:sz w:val="20"/>
                <w:szCs w:val="20"/>
              </w:rPr>
              <w:t xml:space="preserve">values. The financial and human resources earmarked for baseline programmes related to forest and pasture management in the NE Armenia are deployed and managed by sectoral departments working in silos. There is a need to harmonise and coordinate efforts across sectors, and spearhead innovative ways and means of enhancing ecosystem functioning and resilience in an integrated and coordinated way that balances socio-economic and environmental objectives. Also, authority for regulation of land and natural resource, including biodiversity, is scattered among different entities. Coordination among these regulatory authorities is weak and this often results in land use approval decisions either taking too long, or land use changes and developments being approved without effective consultation. Decision-makers lack solid information on which to base decisions regarding land use allocation and management. Without a proper assessment, monitoring and planning regime for the maintenance of ecosystem goods and services, managers and users have a difficult time effectively evaluating and integrating land degradation risks and threats to biodiversity within decision-making. Important gaps in the policy and regulatory framework stand in the way of a transformative change from a short-term economy focused to a long-term integrated land use planning. A set of policies and regulations is required in order to incorporate the definition of high value of biodiversity and ecosystem services, prescribe the need to identify and describe the procedure and standards for identification and designation of High Conservation Value Forests, and prescribe the priority for avoiding damage to ecosystem integrity when planning any economic activities at the time of territorial planning. The marz and community authorities lack the capacity to generate, implement and enforce integrated forest and land use plans. </w:t>
            </w:r>
            <w:r w:rsidRPr="009533A2">
              <w:rPr>
                <w:rFonts w:ascii="Times New Roman" w:hAnsi="Times New Roman" w:cs="Times New Roman"/>
                <w:color w:val="auto"/>
                <w:kern w:val="0"/>
                <w:sz w:val="20"/>
                <w:szCs w:val="20"/>
                <w:lang w:val="en-GB"/>
              </w:rPr>
              <w:t>Financial constraints present a further barrier to upscale SFM/SLM levels in Armenia at the level required to successfully arrest land and forest degradation and combat desertification. Ministries, Marzpets and Local Self-governing Authorities have a voice in where to channel baseline programme resources for supporting forestry and livestock management but this often focuses on production and technical efficiencies without weighing their negative impacts on land degradation processes. In part this is because there is a dearth of information on long-term costs of land degradation both in terms of loss in income and reduced ecosystem goods and services. Further, there is a disconnect between public expenditures and environmental state budget allocations for environmental purposes, e.g. land degradation</w:t>
            </w:r>
            <w:r w:rsidRPr="009533A2">
              <w:rPr>
                <w:rStyle w:val="FootnoteReference"/>
                <w:rFonts w:ascii="Times New Roman" w:hAnsi="Times New Roman"/>
                <w:color w:val="auto"/>
                <w:kern w:val="0"/>
                <w:sz w:val="20"/>
                <w:szCs w:val="20"/>
                <w:lang w:val="en-GB"/>
              </w:rPr>
              <w:footnoteReference w:id="12"/>
            </w:r>
            <w:r w:rsidRPr="009533A2">
              <w:rPr>
                <w:rFonts w:ascii="Times New Roman" w:hAnsi="Times New Roman" w:cs="Times New Roman"/>
                <w:color w:val="auto"/>
                <w:kern w:val="0"/>
                <w:sz w:val="20"/>
                <w:szCs w:val="20"/>
                <w:lang w:val="en-GB"/>
              </w:rPr>
              <w:t>.</w:t>
            </w:r>
            <w:r w:rsidRPr="009533A2">
              <w:rPr>
                <w:rFonts w:ascii="Times New Roman" w:hAnsi="Times New Roman" w:cs="Times New Roman"/>
                <w:color w:val="auto"/>
                <w:kern w:val="0"/>
                <w:sz w:val="20"/>
                <w:szCs w:val="20"/>
              </w:rPr>
              <w:t xml:space="preserve"> </w:t>
            </w:r>
          </w:p>
        </w:tc>
      </w:tr>
      <w:tr w:rsidR="00E83D4D" w:rsidRPr="009533A2" w:rsidTr="004A7299">
        <w:tc>
          <w:tcPr>
            <w:tcW w:w="5000" w:type="pct"/>
          </w:tcPr>
          <w:p w:rsidR="00E83D4D" w:rsidRPr="009533A2" w:rsidRDefault="00E83D4D" w:rsidP="004A7299">
            <w:pPr>
              <w:pStyle w:val="NumberedParasinaPIF"/>
              <w:spacing w:after="60"/>
              <w:rPr>
                <w:i/>
                <w:noProof w:val="0"/>
                <w:szCs w:val="20"/>
              </w:rPr>
            </w:pPr>
            <w:r w:rsidRPr="009533A2">
              <w:rPr>
                <w:i/>
                <w:noProof w:val="0"/>
                <w:szCs w:val="20"/>
              </w:rPr>
              <w:t>Minimal experience among key government and civil society stakeholders in developing and implementing SFM practices on the ground:</w:t>
            </w:r>
          </w:p>
          <w:p w:rsidR="00E83D4D" w:rsidRPr="009533A2" w:rsidRDefault="00E83D4D" w:rsidP="0053351D">
            <w:pPr>
              <w:pStyle w:val="NumberedParasinaPIF"/>
              <w:spacing w:after="120"/>
              <w:rPr>
                <w:szCs w:val="20"/>
              </w:rPr>
            </w:pPr>
            <w:r w:rsidRPr="009533A2">
              <w:rPr>
                <w:noProof w:val="0"/>
                <w:szCs w:val="20"/>
                <w:lang w:val="en-GB"/>
              </w:rPr>
              <w:t xml:space="preserve">Forest Management Plans have been prepared for all ten Forest Business Branches in the Lori and Tavush marzes. Management of forest lands and forests is performed based on these plans. The plans as current focus on determining logging activities for the next ten years. </w:t>
            </w:r>
            <w:r w:rsidR="00EE3440" w:rsidRPr="009533A2">
              <w:rPr>
                <w:noProof w:val="0"/>
                <w:szCs w:val="20"/>
                <w:lang w:val="en-GB"/>
              </w:rPr>
              <w:t>The plans do not take into account the conservation value of forests when assigning it to production purposes, neither does it incorporates the value of ecosystem goods and services that</w:t>
            </w:r>
            <w:r w:rsidR="001E5EA1" w:rsidRPr="009533A2">
              <w:rPr>
                <w:noProof w:val="0"/>
                <w:szCs w:val="20"/>
                <w:lang w:val="en-GB"/>
              </w:rPr>
              <w:t xml:space="preserve"> are delivered in intact forest</w:t>
            </w:r>
            <w:r w:rsidR="00EE3440" w:rsidRPr="009533A2">
              <w:rPr>
                <w:noProof w:val="0"/>
                <w:szCs w:val="20"/>
                <w:lang w:val="en-GB"/>
              </w:rPr>
              <w:t xml:space="preserve"> patches. </w:t>
            </w:r>
            <w:r w:rsidRPr="009533A2">
              <w:rPr>
                <w:noProof w:val="0"/>
                <w:szCs w:val="20"/>
                <w:lang w:val="en-GB"/>
              </w:rPr>
              <w:t xml:space="preserve">Although FMPs have been introduced and developed, there is a resistance to implementing them, in part based on lack of knowledge on their utilisation due to both lack of capacity and the academic style of the plans. There is also a public perception that FMPs may not be based on accurate data. There is no established monitoring protocol for biodiversity, ecosystem services and carbon accounting in the existing FMPs. </w:t>
            </w:r>
            <w:r w:rsidRPr="009533A2">
              <w:rPr>
                <w:szCs w:val="20"/>
              </w:rPr>
              <w:t>The Ministry of Nature Protection needs to update the GHG inventory with data on LULUCF. However, this research is sophisticated, and the national capacities are scarce. The UNFCCC Second National Communication Report (Armenia) states as a major gap: “Incomplete data in the “LULUCF” sector results in high level of uncertainties in assessment of emissions”.</w:t>
            </w:r>
            <w:r w:rsidRPr="009533A2">
              <w:rPr>
                <w:noProof w:val="0"/>
                <w:szCs w:val="20"/>
              </w:rPr>
              <w:t xml:space="preserve">The current system of delineating protection forests within the Forest Enterprise Branches results in a number of small isolated protection zones and does not take into account the establishment of connectivity between the areas. Neither does it adequately take account of ecosystem services/biodiversity values when allocating the </w:t>
            </w:r>
            <w:r w:rsidRPr="009533A2">
              <w:rPr>
                <w:noProof w:val="0"/>
                <w:szCs w:val="20"/>
              </w:rPr>
              <w:lastRenderedPageBreak/>
              <w:t xml:space="preserve">land use. </w:t>
            </w:r>
            <w:r w:rsidRPr="009533A2">
              <w:rPr>
                <w:noProof w:val="0"/>
                <w:szCs w:val="20"/>
                <w:lang w:val="en-GB"/>
              </w:rPr>
              <w:t xml:space="preserve">Further, </w:t>
            </w:r>
            <w:r w:rsidRPr="009533A2">
              <w:rPr>
                <w:noProof w:val="0"/>
                <w:szCs w:val="20"/>
              </w:rPr>
              <w:t>Armenia does not have operational, “on-the-ground” examples of sustainable forest management at a landscape level. Although most of the forested areas are connected through the mountain corridors, the FMPs still need to consider connectivity between the different Forestry Enterprise Branches. However, FMPs are developed for individual Branches and the forests therefore managed as independent land units. The situation in NE Armenia presents a unique opportunity to showcase the forest landscape approach. However, without the access to know-how, proven through demonstration, government decision-makers and resource users do not have the tools and knowledge necessary to decrease land and forest degradation. Although the principles of forest management are well understood, know-how needed to maintain the functional integrity of forests is lacking. The long-term resilience of the forests and their ability to provide important ecosystem services will require that certain areas (large forest blocks) are conserved rather than utilized for logging or firewood collection and that connectivity is maintained between the conserved areas by better managing these drivers of degradation – thus removing anthropogenic stressors that are impeding natural forest rehabilitation. The lack of involvement of local communities in the management of forests or in the reforestation/afforestation and limited tangible benefits from the forest undermines the successes that such a program could have. There is an unmet need to test the different means for achieving connectivity, and action in this regard is constrained by insufficient incentives and weak landholders (both public and private) capacities for internalizing sustainable forest and biodiversity management</w:t>
            </w:r>
            <w:r w:rsidRPr="009533A2">
              <w:rPr>
                <w:szCs w:val="20"/>
              </w:rPr>
              <w:t>.</w:t>
            </w:r>
          </w:p>
        </w:tc>
      </w:tr>
    </w:tbl>
    <w:p w:rsidR="00E83D4D" w:rsidRPr="009533A2" w:rsidRDefault="00E83D4D" w:rsidP="001A38B3">
      <w:pPr>
        <w:pStyle w:val="NumberedParasinaPIF"/>
        <w:spacing w:after="120"/>
        <w:rPr>
          <w:i/>
          <w:noProof w:val="0"/>
          <w:sz w:val="21"/>
          <w:szCs w:val="21"/>
        </w:rPr>
      </w:pPr>
    </w:p>
    <w:p w:rsidR="00E83D4D" w:rsidRPr="009533A2" w:rsidRDefault="00E83D4D" w:rsidP="006A3AA2">
      <w:pPr>
        <w:pStyle w:val="aaa"/>
        <w:jc w:val="both"/>
      </w:pPr>
      <w:r w:rsidRPr="009533A2">
        <w:t>Proposed alternative scenario, with a brief description of expected outcomes and components of the project, incremental cost reasoning and expected contributions from the baseline, the GEFTF, LDCF/SCCF and co-financing</w:t>
      </w:r>
    </w:p>
    <w:p w:rsidR="00E83D4D" w:rsidRPr="009533A2" w:rsidRDefault="00E83D4D" w:rsidP="00367C3B">
      <w:pPr>
        <w:pStyle w:val="NumberedParasinaPIF"/>
        <w:spacing w:before="80" w:after="60"/>
        <w:rPr>
          <w:b/>
          <w:noProof w:val="0"/>
          <w:sz w:val="21"/>
          <w:szCs w:val="21"/>
        </w:rPr>
      </w:pPr>
      <w:r w:rsidRPr="009533A2">
        <w:rPr>
          <w:sz w:val="21"/>
          <w:szCs w:val="21"/>
        </w:rPr>
        <w:t>The objective of the proposed project is sustainable land and forest management in the NE Armenia to secure continued flow of multiple ecosystem services (such as water proviison, land slide control and carbon storage and sequestration) and to ensure conservation of critical wildlife habitats through the removal of the aforementioned barriers. The project is to address the two barriers through the implementation of the following two components:</w:t>
      </w:r>
    </w:p>
    <w:p w:rsidR="00E83D4D" w:rsidRPr="009533A2" w:rsidRDefault="00E83D4D" w:rsidP="00495F2D">
      <w:pPr>
        <w:pStyle w:val="ListParagraph"/>
        <w:numPr>
          <w:ilvl w:val="0"/>
          <w:numId w:val="0"/>
        </w:numPr>
        <w:jc w:val="both"/>
        <w:rPr>
          <w:sz w:val="21"/>
          <w:szCs w:val="21"/>
        </w:rPr>
      </w:pPr>
      <w:r w:rsidRPr="009533A2">
        <w:rPr>
          <w:b/>
          <w:sz w:val="21"/>
          <w:szCs w:val="21"/>
        </w:rPr>
        <w:t>Component 1. Enabling environment for the marzes in NE Armenia to plan, monitor and adapt sustainable forest and land management.</w:t>
      </w:r>
      <w:r w:rsidRPr="009533A2">
        <w:rPr>
          <w:sz w:val="21"/>
          <w:szCs w:val="21"/>
        </w:rPr>
        <w:t xml:space="preserve"> This component will incorporate sustainable land management objectives and safeguards in the land use and natural resource planning, permitting and compliance monitoring system at the local level. Integrated Forest and Land Use Plans (IFLUPs) will be developed for the two marzes ensuring optimal allocation of land resources to generate development benefits and critical environmental benefits (including biodiversity conservation) in tandem. </w:t>
      </w:r>
      <w:r w:rsidR="009B00A9" w:rsidRPr="009533A2">
        <w:rPr>
          <w:sz w:val="21"/>
          <w:szCs w:val="21"/>
        </w:rPr>
        <w:t xml:space="preserve">All important land users including urban development industry, agricultural sector and forestry sector will be involved in the process. </w:t>
      </w:r>
      <w:r w:rsidRPr="009533A2">
        <w:rPr>
          <w:sz w:val="21"/>
          <w:szCs w:val="21"/>
        </w:rPr>
        <w:t>In order to ensure these IFLUPs are based on solid and up-to-date information, a GIS system will be put in place. The GIS system will enable to undertake inventory and classification of land and biodiversity resources in NE Armenia, would present information on the location of critical habitats, build in thresholds for the use of natural resources (land, freshwater, forests), have indicators on ecosystem resilience, carbon stocks, impact of climate change. The GIS system would not only document the status-quo but use landscape modelling and planning to develop optimal scenarios for IFLUPs, and will enable monitoring of threats on the status of land, forests, and biodiversity. Through the GIS system, Ministries, marzpets and local self-governing authorities will be able to determine where critical habitats and endangered and threatened species are, which threats these habitats and species are suffering from, whether a given site has ecosystem value, what the predominant land use are and what the current as well as potential effects of land degradation on ecosystem services are. Part of the IFLUP development exercise will be dedicated to analysis of the financial system for sustainable land and forest management, including valuation of costs/benefits of different SFM/SLM practices and production systems – as a basis for brokering new public finance for SFM/SLM in the target districts. A coordination mechanism (multi-stakeholder committees, under Output 1.3) that brings together authorities tasked with natural resource and land use planning and permitting at a regional scale will put in place in the target marzes. Work of multi-stakeholder committees will ensure participatory process behind the development, implementation and enforcement of IFLUPs. The multi-stakeholder committee will adopt a system for effective monitoring and enforcement of the IFLUPs. Methodological recommendations will be developed on regular monitoring of compliance with IFLUPs, sequential steps for their implementation, required modifications to the documentation, and also, where necessary, the definition of “compulsory” actions that need to be implemented by land users. The roles and responsibilities of organizations involved in supervision and enforcement of IFLUPs will be clearly defined; ensuring that the monitoring and enforcement system draws on the expertise of all relevant actors and clearly allocates roles and responsibilities based on comparative advantage. Municipal/Regional inspectors will be capacitated to enforce the new land use regulations, and manage the participatory process of development of the IFLUPs. The project will set up protocols (develop recommendations/guidelines) on technical aspects of implementing integrated land and forest use plans to meet SFM and SLM standards. Further, compliance monitoring will be strengthened in order to eliminate the silo approach, where for example agricultural officials only monitor impacts on agriculture and forestry officials only monitor impacts on forests, to a more integrated approach that allows for joint monitoring. Planning and monitoring teams comprised of officials from different sectors will be created and trained on this new approach.</w:t>
      </w:r>
    </w:p>
    <w:p w:rsidR="00E83D4D" w:rsidRPr="009533A2" w:rsidRDefault="00E83D4D" w:rsidP="00495F2D">
      <w:pPr>
        <w:pStyle w:val="ListParagraph"/>
        <w:numPr>
          <w:ilvl w:val="0"/>
          <w:numId w:val="0"/>
        </w:numPr>
        <w:jc w:val="both"/>
        <w:rPr>
          <w:sz w:val="21"/>
          <w:szCs w:val="21"/>
        </w:rPr>
      </w:pPr>
      <w:r w:rsidRPr="009533A2">
        <w:rPr>
          <w:sz w:val="21"/>
          <w:szCs w:val="21"/>
        </w:rPr>
        <w:t xml:space="preserve">Promotion of SLM and SFM practices at the district level will be facilitated with a set of necessary national level policies and regulations (Output 1.5). Regulations will be adopted to stipulate the process for identification and setting aside of High Conservation Value Forests (HCVF) in Forest Management Planning; resolutions of district governments will be sought to adopt methodologies and criteria for assessing forests and agricultural land condition for the purposes of subsequent land use decision making; recommendations will be developed for securing additional finances for SFM/SLM investments and aligning the existing financial contributions in the forestry and rangeland sectors to support SFM/SLM practices; guidance and resource distribution criteria for allocations – to improve the efficacy of SFM/SLM investments (reduce overlap and redundancy) will be designed; </w:t>
      </w:r>
      <w:r w:rsidRPr="009533A2">
        <w:rPr>
          <w:sz w:val="21"/>
          <w:szCs w:val="21"/>
        </w:rPr>
        <w:lastRenderedPageBreak/>
        <w:t>regulations for special management in ecological sensitive areas will be put in place, protocols for identification and demarcation of corridors for wildlife movement; regulations on identification of ecosystem goods and services that will be mandatory to be addressed in the land use planning.</w:t>
      </w:r>
    </w:p>
    <w:p w:rsidR="00E83D4D" w:rsidRPr="009533A2" w:rsidRDefault="00E83D4D" w:rsidP="002661EE">
      <w:pPr>
        <w:spacing w:after="120" w:line="240" w:lineRule="auto"/>
        <w:jc w:val="both"/>
        <w:rPr>
          <w:rFonts w:ascii="Times New Roman" w:hAnsi="Times New Roman" w:cs="Times New Roman"/>
          <w:color w:val="auto"/>
          <w:sz w:val="21"/>
          <w:szCs w:val="21"/>
        </w:rPr>
      </w:pPr>
      <w:r w:rsidRPr="009533A2">
        <w:rPr>
          <w:rFonts w:ascii="Times New Roman" w:hAnsi="Times New Roman" w:cs="Times New Roman"/>
          <w:b/>
          <w:color w:val="auto"/>
          <w:sz w:val="21"/>
          <w:szCs w:val="21"/>
        </w:rPr>
        <w:t xml:space="preserve">Component 2: Investment in sustainable forest management at 190,000 ha of NE Armenia. </w:t>
      </w:r>
      <w:r w:rsidRPr="009533A2">
        <w:rPr>
          <w:rFonts w:ascii="Times New Roman" w:hAnsi="Times New Roman" w:cs="Times New Roman"/>
          <w:color w:val="auto"/>
          <w:sz w:val="21"/>
          <w:szCs w:val="21"/>
        </w:rPr>
        <w:t xml:space="preserve">Under this component, the project will work in the ten Forest Enterprise Branches to plan and implement sustainable forest landscape management. As a first step, the current forest management plans will be revised to take stock of the LD, BD and CC data obtained under the previous component as part of IFLUPs. The adjusted forest management plans will demarcate areas for restricted land and forest use for assigning land use regime to certain areas important for the provision of ecosystem services in the area such as water supply and land slide control, and for priority corridors for wildlife. The revision of the forest plans for the 10 forest districts, with full participation of </w:t>
      </w:r>
      <w:r w:rsidR="009B3C87" w:rsidRPr="009533A2">
        <w:rPr>
          <w:rFonts w:ascii="Times New Roman" w:hAnsi="Times New Roman" w:cs="Times New Roman"/>
          <w:color w:val="auto"/>
          <w:sz w:val="21"/>
          <w:szCs w:val="21"/>
        </w:rPr>
        <w:t xml:space="preserve">foresters and adjacent </w:t>
      </w:r>
      <w:r w:rsidRPr="009533A2">
        <w:rPr>
          <w:rFonts w:ascii="Times New Roman" w:hAnsi="Times New Roman" w:cs="Times New Roman"/>
          <w:color w:val="auto"/>
          <w:sz w:val="21"/>
          <w:szCs w:val="21"/>
        </w:rPr>
        <w:t>local land managers, in particular local communities, will stipulate roles, responsibilities and benefits, and agree on management and monitoring mechanisms. The plans will identify appropriate forest sections for community forestry within the Forest Enterprise Branches, as well, on a local scale extend, outside the boundaries of the Forest Enterprise Branches’ boundaries in order to ensure corridors are created between forest complexes, but also to provide opportunity for communities/private landowners to participate in the forestry industry through reforestation/afforestation projects.</w:t>
      </w:r>
    </w:p>
    <w:p w:rsidR="00E83D4D" w:rsidRPr="009533A2" w:rsidRDefault="00E83D4D" w:rsidP="002661EE">
      <w:pPr>
        <w:spacing w:after="120" w:line="240" w:lineRule="auto"/>
        <w:jc w:val="both"/>
        <w:rPr>
          <w:rFonts w:ascii="Times New Roman" w:hAnsi="Times New Roman" w:cs="Times New Roman"/>
          <w:color w:val="auto"/>
          <w:sz w:val="21"/>
          <w:szCs w:val="21"/>
        </w:rPr>
      </w:pPr>
      <w:r w:rsidRPr="009533A2">
        <w:rPr>
          <w:rFonts w:ascii="Times New Roman" w:hAnsi="Times New Roman" w:cs="Times New Roman"/>
          <w:color w:val="auto"/>
          <w:sz w:val="21"/>
          <w:szCs w:val="21"/>
        </w:rPr>
        <w:t xml:space="preserve">Important element of the adjusted district forest plans will be two new monitoring modules (outputs 2.1a and 2.1b correspondingly), one dealing with biodiversity and ecosystem services, the other one dealing with carbon monitoring. For the former, specific scientific indices such as the biodiversity intactness index will be used. Where appropriate, the ecological monitoring activities will be conducted jointly with or by the local communities. For the carbon monitoring system, the GEF Scenario would enable setting up a network of a minimum number of representative sample sites in project target areas that will be subject to a series of aboveground and below-ground biomass measurements, per different biotopes and land uses. This will enable to obtain IPCC Tier 2-level coefficients for various pools (including soil and below ground biomass) which are currently unavailable. The sample site measurement data will be extrapolated onto broader forest landscape using remote sensing. For that a methodology for transferring field data on carbon to the current Armenia forest inventory system will be developed, together with extrapolation techniques, data protocols and other RS parameters. Once the initial instrumental measurements are fed into it and extrapolated properly, the Remote System will produce relatively high-precision knowledge of the ecosystem carbon contained in the targeted 10 forest districts. Further, due to incorporation of remote sensing, the system will enable tracking of carbon stock changes on annual basis or any other frequency. The remote sensing technique will enable to trace removal of biomass due to logging, and natural threats, such as fires. The PPG will analyze which software is currently used under the Forest Inventory of Armenia and recommend a software solution that will be implemented in the full GEF project, so that reports generated by this system are available for decision makers and reporting to UNFCCC. </w:t>
      </w:r>
    </w:p>
    <w:p w:rsidR="00E83D4D" w:rsidRPr="009533A2" w:rsidRDefault="00E83D4D" w:rsidP="00A17486">
      <w:pPr>
        <w:spacing w:after="120" w:line="240" w:lineRule="auto"/>
        <w:jc w:val="both"/>
        <w:rPr>
          <w:rFonts w:ascii="Times New Roman" w:hAnsi="Times New Roman" w:cs="Times New Roman"/>
          <w:color w:val="auto"/>
          <w:sz w:val="21"/>
          <w:szCs w:val="21"/>
        </w:rPr>
      </w:pPr>
      <w:r w:rsidRPr="009533A2">
        <w:rPr>
          <w:rFonts w:ascii="Times New Roman" w:hAnsi="Times New Roman" w:cs="Times New Roman"/>
          <w:color w:val="auto"/>
          <w:sz w:val="21"/>
          <w:szCs w:val="21"/>
        </w:rPr>
        <w:t>The ecological connectivity between existing forests complexes will be enhanced by designating 85,000 hectares (can include current categories of Forests of Special Significance and Special Significance, but based on new technologies) of intact forests as HCVFs (reducing or preventing logging, firewood collection and grazing in these areas). Agreements with communities will ensure that grazing is limited in some areas, while in other these areas will be fenced. The delineation of forest complexes as HVCFs as well as the identification of areas for rehabilitation will be undertaken with a view towards creating linear ecological corridors (e.g. reforestation adjacent to existing protected areas or protection forests) and stepping stone corridors (e.g. rather proclaim a protection forests or reforest an area between two existing forest complexes rather than a stand-alone site) in order to further increase the functional connectivity of the forest. The boundaries of the protection forests will be delineated and marked and the Foresters and communities capacitated in the management of these forests. This will include the reduction of firewood harvesting volumes in forests important for the delivery of critical ecosystem services, moving high-value forests from the ‘harvested’ to the ‘protected’ category and implementing non-exhaustive forest use in cooperation with local communities. This will include capacity building to restrict forest felling for heating, forest fire management including early warning systems and fire combating techniques, as well as the control of any grazing activities in these areas through the restriction of grazing in these areas. In addition to setting aside the 85,000 ha of HCVF, the project will reforest/afforest 3,000 ha using mostly advanced ecosystem restoration methods (e.g. using multiple indigenous species, not planting in rows, natural regeneration etc) in order to restore ecological integrity.</w:t>
      </w:r>
      <w:r w:rsidR="00A139D6" w:rsidRPr="009533A2">
        <w:rPr>
          <w:rFonts w:ascii="Times New Roman" w:hAnsi="Times New Roman" w:cs="Times New Roman"/>
          <w:color w:val="auto"/>
          <w:sz w:val="21"/>
          <w:szCs w:val="21"/>
        </w:rPr>
        <w:t xml:space="preserve"> Armenia currently does not envisage to introduce FSC certification, because it is not one of the major exporters of forest products and therefore the FSC certification does not have high relevance to Armenia. However, Armenia is committed to improving its national forest certification standards, and the introduction of the HCVF concept will be pursued through this channel, by incorporating it into national forest regulations and standards. At the same time, the issue of national/international certification schemes and the interaction of them with the introduction of the HCVF concept in Armenia will be looked at with care at the PPG.</w:t>
      </w:r>
    </w:p>
    <w:p w:rsidR="00E83D4D" w:rsidRPr="009533A2" w:rsidRDefault="00E83D4D" w:rsidP="002661EE">
      <w:pPr>
        <w:spacing w:after="120" w:line="240" w:lineRule="auto"/>
        <w:jc w:val="both"/>
        <w:rPr>
          <w:rFonts w:ascii="Times New Roman" w:hAnsi="Times New Roman" w:cs="Times New Roman"/>
          <w:color w:val="auto"/>
          <w:sz w:val="21"/>
          <w:szCs w:val="21"/>
        </w:rPr>
      </w:pPr>
      <w:r w:rsidRPr="009533A2">
        <w:rPr>
          <w:rFonts w:ascii="Times New Roman" w:hAnsi="Times New Roman" w:cs="Times New Roman"/>
          <w:color w:val="auto"/>
          <w:sz w:val="21"/>
          <w:szCs w:val="21"/>
        </w:rPr>
        <w:t xml:space="preserve">In order to relieve pressures from local communities on forests resources, alternative livelihoods will be promoted through the field-testing of a subsidy/grant scheme. Apiculture, processing of non-wood forests products (berries, mushrooms, medicinal herbs) and community-based ecotourism ventures will be the focus. The increasing of the incomes of local communities from forest-friendly small-business support has been confirmed by national stakeholders but a detailed feasibility analysis for the alternative livelihoods scheme will be implemented at PPG stage. </w:t>
      </w:r>
      <w:r w:rsidR="008B09B6" w:rsidRPr="009533A2">
        <w:rPr>
          <w:rFonts w:ascii="Times New Roman" w:hAnsi="Times New Roman" w:cs="Times New Roman"/>
          <w:color w:val="auto"/>
          <w:sz w:val="21"/>
          <w:szCs w:val="21"/>
        </w:rPr>
        <w:t>The feasibility of an innovative PES scheme will also be explored during the PPG stage.</w:t>
      </w:r>
    </w:p>
    <w:p w:rsidR="00E83D4D" w:rsidRPr="009533A2" w:rsidRDefault="00E83D4D" w:rsidP="008C1419">
      <w:pPr>
        <w:pStyle w:val="aaa"/>
        <w:jc w:val="both"/>
      </w:pPr>
      <w:r w:rsidRPr="009533A2">
        <w:t xml:space="preserve">Summary comparison of baseline and alternative scenarios and global environmental benefits </w:t>
      </w:r>
    </w:p>
    <w:p w:rsidR="00E83D4D" w:rsidRPr="009533A2" w:rsidRDefault="00E83D4D" w:rsidP="00367C3B">
      <w:pPr>
        <w:pStyle w:val="NumberedParasinaPIF"/>
        <w:spacing w:before="80" w:after="60"/>
        <w:rPr>
          <w:noProof w:val="0"/>
          <w:sz w:val="21"/>
          <w:szCs w:val="21"/>
        </w:rPr>
      </w:pPr>
      <w:r w:rsidRPr="009533A2">
        <w:rPr>
          <w:sz w:val="21"/>
          <w:szCs w:val="21"/>
        </w:rPr>
        <w:lastRenderedPageBreak/>
        <w:t>The global benefits that will be delivered primarily include the adoption of SLM and SFM practices that will reduce land degradation and secure ecosystem services and mainstream biodiversity conservation over a landscape of 650,000 ha and test particular SFM approaches at 190,000 ha,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18"/>
        <w:gridCol w:w="270"/>
        <w:gridCol w:w="2340"/>
        <w:gridCol w:w="1440"/>
        <w:gridCol w:w="180"/>
        <w:gridCol w:w="4068"/>
      </w:tblGrid>
      <w:tr w:rsidR="00E83D4D" w:rsidRPr="009533A2" w:rsidTr="00251DF0">
        <w:tc>
          <w:tcPr>
            <w:tcW w:w="2718" w:type="dxa"/>
            <w:shd w:val="clear" w:color="auto" w:fill="000000"/>
          </w:tcPr>
          <w:p w:rsidR="00E83D4D" w:rsidRPr="009533A2" w:rsidRDefault="00E83D4D" w:rsidP="004A7299">
            <w:pPr>
              <w:pStyle w:val="A"/>
              <w:numPr>
                <w:ilvl w:val="0"/>
                <w:numId w:val="0"/>
              </w:numPr>
              <w:jc w:val="center"/>
              <w:rPr>
                <w:color w:val="FFFFFF"/>
                <w:sz w:val="20"/>
                <w:szCs w:val="20"/>
              </w:rPr>
            </w:pPr>
            <w:r w:rsidRPr="009533A2">
              <w:rPr>
                <w:color w:val="FFFFFF"/>
                <w:sz w:val="20"/>
                <w:szCs w:val="20"/>
              </w:rPr>
              <w:t>Baseline practices</w:t>
            </w:r>
          </w:p>
        </w:tc>
        <w:tc>
          <w:tcPr>
            <w:tcW w:w="4050" w:type="dxa"/>
            <w:gridSpan w:val="3"/>
            <w:shd w:val="clear" w:color="auto" w:fill="000000"/>
          </w:tcPr>
          <w:p w:rsidR="00E83D4D" w:rsidRPr="009533A2" w:rsidRDefault="00E83D4D" w:rsidP="004A7299">
            <w:pPr>
              <w:pStyle w:val="A"/>
              <w:numPr>
                <w:ilvl w:val="0"/>
                <w:numId w:val="0"/>
              </w:numPr>
              <w:jc w:val="center"/>
              <w:rPr>
                <w:color w:val="FFFFFF"/>
                <w:sz w:val="20"/>
                <w:szCs w:val="20"/>
              </w:rPr>
            </w:pPr>
            <w:r w:rsidRPr="009533A2">
              <w:rPr>
                <w:color w:val="FFFFFF"/>
                <w:sz w:val="20"/>
                <w:szCs w:val="20"/>
              </w:rPr>
              <w:t>Alternative to be put in place by the project</w:t>
            </w:r>
          </w:p>
        </w:tc>
        <w:tc>
          <w:tcPr>
            <w:tcW w:w="4248" w:type="dxa"/>
            <w:gridSpan w:val="2"/>
            <w:shd w:val="clear" w:color="auto" w:fill="000000"/>
          </w:tcPr>
          <w:p w:rsidR="00E83D4D" w:rsidRPr="009533A2" w:rsidRDefault="00E83D4D" w:rsidP="004A7299">
            <w:pPr>
              <w:pStyle w:val="A"/>
              <w:numPr>
                <w:ilvl w:val="0"/>
                <w:numId w:val="0"/>
              </w:numPr>
              <w:jc w:val="center"/>
              <w:rPr>
                <w:color w:val="FFFFFF"/>
                <w:sz w:val="20"/>
                <w:szCs w:val="20"/>
              </w:rPr>
            </w:pPr>
            <w:r w:rsidRPr="009533A2">
              <w:rPr>
                <w:color w:val="FFFFFF"/>
                <w:sz w:val="20"/>
                <w:szCs w:val="20"/>
              </w:rPr>
              <w:t>Selected environmental benefit</w:t>
            </w:r>
          </w:p>
        </w:tc>
      </w:tr>
      <w:tr w:rsidR="00E83D4D" w:rsidRPr="009533A2" w:rsidTr="00251DF0">
        <w:tc>
          <w:tcPr>
            <w:tcW w:w="11016" w:type="dxa"/>
            <w:gridSpan w:val="6"/>
          </w:tcPr>
          <w:p w:rsidR="00E83D4D" w:rsidRPr="009533A2" w:rsidRDefault="00E83D4D" w:rsidP="004A7299">
            <w:pPr>
              <w:pStyle w:val="A"/>
              <w:numPr>
                <w:ilvl w:val="0"/>
                <w:numId w:val="0"/>
              </w:numPr>
              <w:spacing w:after="60"/>
              <w:jc w:val="center"/>
              <w:rPr>
                <w:sz w:val="20"/>
                <w:szCs w:val="20"/>
              </w:rPr>
            </w:pPr>
            <w:r w:rsidRPr="009533A2">
              <w:rPr>
                <w:sz w:val="20"/>
                <w:szCs w:val="20"/>
              </w:rPr>
              <w:t>Land Use Planning and Regulation</w:t>
            </w:r>
          </w:p>
        </w:tc>
      </w:tr>
      <w:tr w:rsidR="00E83D4D" w:rsidRPr="009533A2" w:rsidTr="00D02A40">
        <w:tc>
          <w:tcPr>
            <w:tcW w:w="2988" w:type="dxa"/>
            <w:gridSpan w:val="2"/>
          </w:tcPr>
          <w:p w:rsidR="00E83D4D" w:rsidRPr="009533A2" w:rsidRDefault="00E83D4D" w:rsidP="004A7299">
            <w:pPr>
              <w:pStyle w:val="A"/>
              <w:numPr>
                <w:ilvl w:val="0"/>
                <w:numId w:val="0"/>
              </w:numPr>
              <w:rPr>
                <w:b w:val="0"/>
                <w:sz w:val="20"/>
                <w:szCs w:val="20"/>
                <w:lang w:val="ru-RU"/>
              </w:rPr>
            </w:pPr>
            <w:r w:rsidRPr="009533A2">
              <w:rPr>
                <w:b w:val="0"/>
                <w:sz w:val="20"/>
                <w:szCs w:val="20"/>
              </w:rPr>
              <w:t>Land use planning does not account for ecosystem values, biodiversity, and carbon pool integrity, leading to continued forest degradation and loss of ecosystem functions</w:t>
            </w:r>
          </w:p>
          <w:p w:rsidR="00E83D4D" w:rsidRPr="009533A2" w:rsidRDefault="00E83D4D" w:rsidP="004A7299">
            <w:pPr>
              <w:pStyle w:val="A"/>
              <w:numPr>
                <w:ilvl w:val="0"/>
                <w:numId w:val="0"/>
              </w:numPr>
              <w:rPr>
                <w:b w:val="0"/>
                <w:sz w:val="20"/>
                <w:szCs w:val="20"/>
                <w:lang w:val="sk-SK"/>
              </w:rPr>
            </w:pPr>
            <w:r w:rsidRPr="009533A2">
              <w:rPr>
                <w:b w:val="0"/>
                <w:sz w:val="20"/>
                <w:szCs w:val="20"/>
                <w:lang w:val="sk-SK"/>
              </w:rPr>
              <w:t>Narrow sectoral approach prevails in terms of land use decision making; forest planning does not incorporate SFM tools.</w:t>
            </w:r>
          </w:p>
          <w:p w:rsidR="00E83D4D" w:rsidRPr="009533A2" w:rsidRDefault="00E83D4D" w:rsidP="004A7299">
            <w:pPr>
              <w:pStyle w:val="A"/>
              <w:numPr>
                <w:ilvl w:val="0"/>
                <w:numId w:val="0"/>
              </w:numPr>
              <w:rPr>
                <w:b w:val="0"/>
                <w:sz w:val="20"/>
                <w:szCs w:val="20"/>
                <w:lang w:val="sk-SK"/>
              </w:rPr>
            </w:pPr>
            <w:r w:rsidRPr="009533A2">
              <w:rPr>
                <w:b w:val="0"/>
                <w:sz w:val="20"/>
                <w:szCs w:val="20"/>
                <w:lang w:val="sk-SK"/>
              </w:rPr>
              <w:t>National policies do not support land use optimization  to sustain resource resilience nor they allow to operationalize the HCVF concept</w:t>
            </w:r>
          </w:p>
          <w:p w:rsidR="00E83D4D" w:rsidRPr="009533A2" w:rsidRDefault="00E83D4D" w:rsidP="004A7299">
            <w:pPr>
              <w:pStyle w:val="A"/>
              <w:numPr>
                <w:ilvl w:val="0"/>
                <w:numId w:val="0"/>
              </w:numPr>
              <w:rPr>
                <w:b w:val="0"/>
                <w:sz w:val="20"/>
                <w:szCs w:val="20"/>
              </w:rPr>
            </w:pPr>
            <w:r w:rsidRPr="009533A2">
              <w:rPr>
                <w:b w:val="0"/>
                <w:sz w:val="20"/>
                <w:szCs w:val="20"/>
                <w:lang w:val="sk-SK"/>
              </w:rPr>
              <w:t>Weak enforcement capacities to ensure compliance with ecological standards in land use and high level of tresspasses in use of forests</w:t>
            </w:r>
          </w:p>
        </w:tc>
        <w:tc>
          <w:tcPr>
            <w:tcW w:w="3960" w:type="dxa"/>
            <w:gridSpan w:val="3"/>
          </w:tcPr>
          <w:p w:rsidR="00E83D4D" w:rsidRPr="009533A2" w:rsidRDefault="00E83D4D" w:rsidP="004A7299">
            <w:pPr>
              <w:pStyle w:val="A"/>
              <w:numPr>
                <w:ilvl w:val="0"/>
                <w:numId w:val="0"/>
              </w:numPr>
              <w:rPr>
                <w:b w:val="0"/>
                <w:sz w:val="20"/>
                <w:szCs w:val="20"/>
              </w:rPr>
            </w:pPr>
            <w:r w:rsidRPr="009533A2">
              <w:rPr>
                <w:b w:val="0"/>
                <w:sz w:val="20"/>
                <w:szCs w:val="20"/>
              </w:rPr>
              <w:t>Mainstreaming SLM/SFM principles into regional territorial planning, compliance monitoring and enforcement::</w:t>
            </w:r>
          </w:p>
          <w:p w:rsidR="00E83D4D" w:rsidRPr="009533A2" w:rsidRDefault="00E83D4D" w:rsidP="006A5867">
            <w:pPr>
              <w:pStyle w:val="ListParagraph"/>
            </w:pPr>
            <w:r w:rsidRPr="009533A2">
              <w:t>All land in target regions is classified in line with the principle of retaining the highest carrying capacity of land and forest resources, and the compliance is monitored and enforced.</w:t>
            </w:r>
          </w:p>
          <w:p w:rsidR="00E83D4D" w:rsidRPr="009533A2" w:rsidRDefault="00E83D4D" w:rsidP="006A5867">
            <w:pPr>
              <w:pStyle w:val="ListParagraph"/>
            </w:pPr>
            <w:r w:rsidRPr="009533A2">
              <w:t>The approach of High Conservation Value Forests is operationalized in Armenia</w:t>
            </w:r>
          </w:p>
          <w:p w:rsidR="00E83D4D" w:rsidRPr="009533A2" w:rsidRDefault="00E83D4D" w:rsidP="006A5867">
            <w:pPr>
              <w:pStyle w:val="ListParagraph"/>
            </w:pPr>
            <w:r w:rsidRPr="009533A2">
              <w:t>Biodiversity identified as value and provision made in the Integrated Forest and Land Use Plans for the conservation of static and migratory biodiversity.</w:t>
            </w:r>
          </w:p>
          <w:p w:rsidR="00E83D4D" w:rsidRPr="009533A2" w:rsidRDefault="00E83D4D" w:rsidP="006A5867">
            <w:pPr>
              <w:pStyle w:val="ListParagraph"/>
            </w:pPr>
            <w:r w:rsidRPr="009533A2">
              <w:t>Community engagement in forest planning and use</w:t>
            </w:r>
          </w:p>
        </w:tc>
        <w:tc>
          <w:tcPr>
            <w:tcW w:w="4068" w:type="dxa"/>
          </w:tcPr>
          <w:p w:rsidR="00E83D4D" w:rsidRPr="009533A2" w:rsidRDefault="00E83D4D" w:rsidP="004A7299">
            <w:pPr>
              <w:pStyle w:val="A"/>
              <w:numPr>
                <w:ilvl w:val="0"/>
                <w:numId w:val="0"/>
              </w:numPr>
              <w:spacing w:after="60"/>
              <w:rPr>
                <w:sz w:val="20"/>
                <w:szCs w:val="20"/>
                <w:lang w:val="en-GB"/>
              </w:rPr>
            </w:pPr>
            <w:r w:rsidRPr="009533A2">
              <w:rPr>
                <w:sz w:val="20"/>
                <w:szCs w:val="20"/>
                <w:lang w:val="en-GB"/>
              </w:rPr>
              <w:t>SFM, LD and BD benefits</w:t>
            </w:r>
          </w:p>
          <w:p w:rsidR="00E83D4D" w:rsidRPr="009533A2" w:rsidRDefault="00E83D4D" w:rsidP="004A7299">
            <w:pPr>
              <w:pStyle w:val="A"/>
              <w:numPr>
                <w:ilvl w:val="0"/>
                <w:numId w:val="0"/>
              </w:numPr>
              <w:spacing w:after="60"/>
              <w:rPr>
                <w:b w:val="0"/>
                <w:sz w:val="20"/>
                <w:szCs w:val="20"/>
                <w:lang w:val="en-GB"/>
              </w:rPr>
            </w:pPr>
            <w:r w:rsidRPr="009533A2">
              <w:rPr>
                <w:b w:val="0"/>
                <w:sz w:val="20"/>
                <w:szCs w:val="20"/>
                <w:lang w:val="en-GB"/>
              </w:rPr>
              <w:t>Pressures on forest landscapes at an areas of 650,000 ha reduced:</w:t>
            </w:r>
          </w:p>
          <w:p w:rsidR="00E83D4D" w:rsidRPr="009533A2" w:rsidRDefault="00E83D4D" w:rsidP="006A5867">
            <w:pPr>
              <w:pStyle w:val="ListParagraph"/>
            </w:pPr>
            <w:r w:rsidRPr="009533A2">
              <w:t>Well-functioning ecosystem services (such as water supply at forests and land slide protection)</w:t>
            </w:r>
          </w:p>
          <w:p w:rsidR="00E83D4D" w:rsidRPr="009533A2" w:rsidRDefault="00E83D4D" w:rsidP="006A5867">
            <w:pPr>
              <w:pStyle w:val="ListParagraph"/>
            </w:pPr>
            <w:r w:rsidRPr="009533A2">
              <w:t>Decrease in grazing pressure in forestland and improved condition of forest ecosystems.</w:t>
            </w:r>
          </w:p>
          <w:p w:rsidR="00E83D4D" w:rsidRPr="009533A2" w:rsidRDefault="00E83D4D" w:rsidP="006A5867">
            <w:pPr>
              <w:pStyle w:val="ListParagraph"/>
            </w:pPr>
            <w:r w:rsidRPr="009533A2">
              <w:t>Reduced illegal cutting and fuel-wood collecting pressure in forest and pasture resulting in prevention of loss of carbon.</w:t>
            </w:r>
          </w:p>
          <w:p w:rsidR="00E83D4D" w:rsidRPr="009533A2" w:rsidRDefault="00E83D4D" w:rsidP="00452008">
            <w:pPr>
              <w:pStyle w:val="ListParagraph"/>
              <w:numPr>
                <w:ilvl w:val="0"/>
                <w:numId w:val="0"/>
              </w:numPr>
            </w:pPr>
          </w:p>
          <w:p w:rsidR="00E83D4D" w:rsidRPr="009533A2" w:rsidRDefault="00E83D4D" w:rsidP="004A7299">
            <w:pPr>
              <w:pStyle w:val="A"/>
              <w:numPr>
                <w:ilvl w:val="0"/>
                <w:numId w:val="0"/>
              </w:numPr>
              <w:spacing w:after="60"/>
              <w:rPr>
                <w:b w:val="0"/>
                <w:sz w:val="20"/>
                <w:szCs w:val="20"/>
                <w:lang w:val="en-GB"/>
              </w:rPr>
            </w:pPr>
          </w:p>
        </w:tc>
      </w:tr>
      <w:tr w:rsidR="00E83D4D" w:rsidRPr="009533A2" w:rsidTr="004A7299">
        <w:tc>
          <w:tcPr>
            <w:tcW w:w="11016" w:type="dxa"/>
            <w:gridSpan w:val="6"/>
          </w:tcPr>
          <w:p w:rsidR="00E83D4D" w:rsidRPr="009533A2" w:rsidRDefault="00E83D4D" w:rsidP="004A7299">
            <w:pPr>
              <w:pStyle w:val="A"/>
              <w:numPr>
                <w:ilvl w:val="0"/>
                <w:numId w:val="0"/>
              </w:numPr>
              <w:spacing w:after="60"/>
              <w:jc w:val="center"/>
              <w:rPr>
                <w:sz w:val="20"/>
                <w:szCs w:val="20"/>
              </w:rPr>
            </w:pPr>
            <w:r w:rsidRPr="009533A2">
              <w:rPr>
                <w:sz w:val="20"/>
                <w:szCs w:val="20"/>
              </w:rPr>
              <w:t>Forests</w:t>
            </w:r>
          </w:p>
        </w:tc>
      </w:tr>
      <w:tr w:rsidR="00E83D4D" w:rsidRPr="009533A2" w:rsidTr="00D02A40">
        <w:tc>
          <w:tcPr>
            <w:tcW w:w="2988" w:type="dxa"/>
            <w:gridSpan w:val="2"/>
          </w:tcPr>
          <w:p w:rsidR="00E83D4D" w:rsidRPr="009533A2" w:rsidRDefault="00E83D4D" w:rsidP="004A7299">
            <w:pPr>
              <w:pStyle w:val="A"/>
              <w:numPr>
                <w:ilvl w:val="0"/>
                <w:numId w:val="0"/>
              </w:numPr>
              <w:rPr>
                <w:b w:val="0"/>
                <w:sz w:val="20"/>
                <w:szCs w:val="20"/>
              </w:rPr>
            </w:pPr>
            <w:r w:rsidRPr="009533A2">
              <w:rPr>
                <w:b w:val="0"/>
                <w:sz w:val="20"/>
                <w:szCs w:val="20"/>
              </w:rPr>
              <w:t>Degradation of dry forests through:</w:t>
            </w:r>
          </w:p>
          <w:p w:rsidR="00E83D4D" w:rsidRPr="009533A2" w:rsidRDefault="00E83D4D" w:rsidP="006A5867">
            <w:pPr>
              <w:pStyle w:val="ListParagraph"/>
            </w:pPr>
            <w:r w:rsidRPr="009533A2">
              <w:t>Illicit felling of trees for fuel wood and timber</w:t>
            </w:r>
          </w:p>
          <w:p w:rsidR="00E83D4D" w:rsidRPr="009533A2" w:rsidRDefault="00E83D4D" w:rsidP="006A5867">
            <w:pPr>
              <w:pStyle w:val="ListParagraph"/>
            </w:pPr>
            <w:r w:rsidRPr="009533A2">
              <w:t xml:space="preserve">Overgrazing of forest land </w:t>
            </w:r>
          </w:p>
          <w:p w:rsidR="00E83D4D" w:rsidRPr="009533A2" w:rsidRDefault="00E83D4D" w:rsidP="006A5867">
            <w:pPr>
              <w:pStyle w:val="ListParagraph"/>
            </w:pPr>
            <w:r w:rsidRPr="009533A2">
              <w:t>No rehabilitation of degraded areas</w:t>
            </w:r>
          </w:p>
        </w:tc>
        <w:tc>
          <w:tcPr>
            <w:tcW w:w="2340" w:type="dxa"/>
          </w:tcPr>
          <w:p w:rsidR="00E83D4D" w:rsidRPr="009533A2" w:rsidRDefault="00E83D4D" w:rsidP="004A7299">
            <w:pPr>
              <w:pStyle w:val="A"/>
              <w:numPr>
                <w:ilvl w:val="0"/>
                <w:numId w:val="0"/>
              </w:numPr>
              <w:rPr>
                <w:b w:val="0"/>
                <w:sz w:val="20"/>
                <w:szCs w:val="20"/>
              </w:rPr>
            </w:pPr>
            <w:r w:rsidRPr="009533A2">
              <w:rPr>
                <w:b w:val="0"/>
                <w:sz w:val="20"/>
                <w:szCs w:val="20"/>
              </w:rPr>
              <w:t>New model for forest planning operationalized at 10 forest districts.</w:t>
            </w:r>
          </w:p>
          <w:p w:rsidR="00E83D4D" w:rsidRPr="009533A2" w:rsidRDefault="00E83D4D" w:rsidP="004A7299">
            <w:pPr>
              <w:pStyle w:val="A"/>
              <w:numPr>
                <w:ilvl w:val="0"/>
                <w:numId w:val="0"/>
              </w:numPr>
              <w:rPr>
                <w:b w:val="0"/>
                <w:sz w:val="20"/>
                <w:szCs w:val="20"/>
              </w:rPr>
            </w:pPr>
            <w:r w:rsidRPr="009533A2">
              <w:rPr>
                <w:b w:val="0"/>
                <w:sz w:val="20"/>
                <w:szCs w:val="20"/>
              </w:rPr>
              <w:t>Sustainable forest management practices implemented:</w:t>
            </w:r>
          </w:p>
          <w:p w:rsidR="00E83D4D" w:rsidRPr="009533A2" w:rsidRDefault="00E83D4D" w:rsidP="006A5867">
            <w:pPr>
              <w:pStyle w:val="ListParagraph"/>
            </w:pPr>
            <w:r w:rsidRPr="009533A2">
              <w:t>Forest exclusion zones and set aside of 85,000 ha as High Conservation Value Forests, replacement of productive logging by conservation forestry with possible engagement of local communities,</w:t>
            </w:r>
          </w:p>
          <w:p w:rsidR="00E83D4D" w:rsidRPr="009533A2" w:rsidRDefault="00E83D4D" w:rsidP="006A5867">
            <w:pPr>
              <w:pStyle w:val="ListParagraph"/>
            </w:pPr>
            <w:r w:rsidRPr="009533A2">
              <w:t>Reducing wood collecting pressures,</w:t>
            </w:r>
          </w:p>
          <w:p w:rsidR="00E83D4D" w:rsidRPr="009533A2" w:rsidRDefault="00E83D4D" w:rsidP="006A5867">
            <w:pPr>
              <w:pStyle w:val="ListParagraph"/>
            </w:pPr>
            <w:r w:rsidRPr="009533A2">
              <w:t>Restoration of degraded forests at 3,000 ha,</w:t>
            </w:r>
          </w:p>
          <w:p w:rsidR="00E83D4D" w:rsidRPr="009533A2" w:rsidRDefault="00E83D4D" w:rsidP="006A5867">
            <w:pPr>
              <w:pStyle w:val="ListParagraph"/>
            </w:pPr>
            <w:r w:rsidRPr="009533A2">
              <w:t>incentives for communities to refrain from unsustainable forest use created through the alternative livelihoods support scheme</w:t>
            </w:r>
          </w:p>
        </w:tc>
        <w:tc>
          <w:tcPr>
            <w:tcW w:w="5688" w:type="dxa"/>
            <w:gridSpan w:val="3"/>
          </w:tcPr>
          <w:p w:rsidR="00E83D4D" w:rsidRPr="009533A2" w:rsidRDefault="00E83D4D" w:rsidP="004A7299">
            <w:pPr>
              <w:pStyle w:val="A"/>
              <w:numPr>
                <w:ilvl w:val="0"/>
                <w:numId w:val="0"/>
              </w:numPr>
              <w:spacing w:after="60"/>
              <w:rPr>
                <w:sz w:val="20"/>
                <w:szCs w:val="20"/>
              </w:rPr>
            </w:pPr>
            <w:r w:rsidRPr="009533A2">
              <w:rPr>
                <w:sz w:val="20"/>
                <w:szCs w:val="20"/>
              </w:rPr>
              <w:t>LD Benefits</w:t>
            </w:r>
          </w:p>
          <w:p w:rsidR="00E83D4D" w:rsidRPr="009533A2" w:rsidRDefault="00E83D4D" w:rsidP="004A7299">
            <w:pPr>
              <w:pStyle w:val="A"/>
              <w:numPr>
                <w:ilvl w:val="0"/>
                <w:numId w:val="0"/>
              </w:numPr>
              <w:spacing w:after="60"/>
              <w:rPr>
                <w:b w:val="0"/>
                <w:sz w:val="20"/>
                <w:szCs w:val="20"/>
              </w:rPr>
            </w:pPr>
            <w:r w:rsidRPr="009533A2">
              <w:rPr>
                <w:b w:val="0"/>
                <w:sz w:val="20"/>
                <w:szCs w:val="20"/>
              </w:rPr>
              <w:t>- increased water availability, better streamflow and quality</w:t>
            </w:r>
          </w:p>
          <w:p w:rsidR="00E83D4D" w:rsidRPr="009533A2" w:rsidRDefault="00E83D4D" w:rsidP="004A7299">
            <w:pPr>
              <w:pStyle w:val="A"/>
              <w:numPr>
                <w:ilvl w:val="0"/>
                <w:numId w:val="0"/>
              </w:numPr>
              <w:spacing w:after="60"/>
              <w:rPr>
                <w:b w:val="0"/>
                <w:sz w:val="20"/>
                <w:szCs w:val="20"/>
              </w:rPr>
            </w:pPr>
            <w:r w:rsidRPr="009533A2">
              <w:rPr>
                <w:b w:val="0"/>
                <w:sz w:val="20"/>
                <w:szCs w:val="20"/>
              </w:rPr>
              <w:t>- reduced danger of landslides</w:t>
            </w:r>
          </w:p>
          <w:p w:rsidR="00E83D4D" w:rsidRPr="009533A2" w:rsidRDefault="00E83D4D" w:rsidP="004A7299">
            <w:pPr>
              <w:pStyle w:val="A"/>
              <w:numPr>
                <w:ilvl w:val="0"/>
                <w:numId w:val="0"/>
              </w:numPr>
              <w:spacing w:after="60"/>
              <w:rPr>
                <w:b w:val="0"/>
                <w:sz w:val="20"/>
                <w:szCs w:val="20"/>
              </w:rPr>
            </w:pPr>
            <w:r w:rsidRPr="009533A2">
              <w:rPr>
                <w:b w:val="0"/>
                <w:sz w:val="20"/>
                <w:szCs w:val="20"/>
              </w:rPr>
              <w:t>- increased in Biodiversity Intactness in Dry Forests</w:t>
            </w:r>
          </w:p>
          <w:p w:rsidR="00E83D4D" w:rsidRPr="009533A2" w:rsidRDefault="00E83D4D" w:rsidP="004A7299">
            <w:pPr>
              <w:pStyle w:val="A"/>
              <w:numPr>
                <w:ilvl w:val="0"/>
                <w:numId w:val="0"/>
              </w:numPr>
              <w:spacing w:after="60"/>
              <w:rPr>
                <w:b w:val="0"/>
                <w:sz w:val="20"/>
                <w:szCs w:val="20"/>
              </w:rPr>
            </w:pPr>
            <w:r w:rsidRPr="009533A2">
              <w:rPr>
                <w:b w:val="0"/>
                <w:sz w:val="20"/>
                <w:szCs w:val="20"/>
              </w:rPr>
              <w:t>- increase annual household income from forest and tree products.</w:t>
            </w:r>
          </w:p>
          <w:p w:rsidR="00E83D4D" w:rsidRPr="009533A2" w:rsidRDefault="00E83D4D" w:rsidP="004A7299">
            <w:pPr>
              <w:pStyle w:val="A"/>
              <w:numPr>
                <w:ilvl w:val="0"/>
                <w:numId w:val="0"/>
              </w:numPr>
              <w:spacing w:after="60"/>
              <w:rPr>
                <w:b w:val="0"/>
                <w:sz w:val="20"/>
                <w:szCs w:val="20"/>
              </w:rPr>
            </w:pPr>
            <w:r w:rsidRPr="009533A2">
              <w:rPr>
                <w:b w:val="0"/>
                <w:sz w:val="20"/>
                <w:szCs w:val="20"/>
              </w:rPr>
              <w:t>- carbon stocks and sequestration (as below)</w:t>
            </w:r>
          </w:p>
          <w:p w:rsidR="00E83D4D" w:rsidRPr="009533A2" w:rsidRDefault="00E83D4D" w:rsidP="004A7299">
            <w:pPr>
              <w:pStyle w:val="A"/>
              <w:numPr>
                <w:ilvl w:val="0"/>
                <w:numId w:val="0"/>
              </w:numPr>
              <w:spacing w:after="60"/>
              <w:rPr>
                <w:b w:val="0"/>
                <w:sz w:val="20"/>
                <w:szCs w:val="20"/>
              </w:rPr>
            </w:pPr>
            <w:r w:rsidRPr="009533A2">
              <w:rPr>
                <w:b w:val="0"/>
                <w:sz w:val="20"/>
                <w:szCs w:val="20"/>
              </w:rPr>
              <w:t xml:space="preserve">Climate Change Dividend: </w:t>
            </w:r>
          </w:p>
          <w:p w:rsidR="00E83D4D" w:rsidRPr="009533A2" w:rsidRDefault="00E83D4D" w:rsidP="004A7299">
            <w:pPr>
              <w:pStyle w:val="A"/>
              <w:numPr>
                <w:ilvl w:val="0"/>
                <w:numId w:val="0"/>
              </w:numPr>
              <w:spacing w:after="60"/>
              <w:rPr>
                <w:sz w:val="20"/>
                <w:szCs w:val="20"/>
              </w:rPr>
            </w:pPr>
            <w:r w:rsidRPr="009533A2">
              <w:rPr>
                <w:sz w:val="20"/>
                <w:szCs w:val="20"/>
              </w:rPr>
              <w:t>CC benefits</w:t>
            </w:r>
          </w:p>
          <w:p w:rsidR="00E83D4D" w:rsidRPr="009533A2" w:rsidRDefault="00E83D4D" w:rsidP="004A7299">
            <w:pPr>
              <w:pStyle w:val="A"/>
              <w:numPr>
                <w:ilvl w:val="0"/>
                <w:numId w:val="0"/>
              </w:numPr>
              <w:spacing w:after="60"/>
              <w:rPr>
                <w:b w:val="0"/>
                <w:sz w:val="20"/>
                <w:szCs w:val="20"/>
              </w:rPr>
            </w:pPr>
            <w:r w:rsidRPr="009533A2">
              <w:rPr>
                <w:b w:val="0"/>
                <w:sz w:val="20"/>
                <w:szCs w:val="20"/>
              </w:rPr>
              <w:t>Avoided emissions of 667,920 tCO2 as a result of introduction of designation of High Conservation Value Forests of 85,000 ha over ten year period</w:t>
            </w:r>
          </w:p>
          <w:p w:rsidR="00E83D4D" w:rsidRPr="009533A2" w:rsidRDefault="00E83D4D" w:rsidP="004A7299">
            <w:pPr>
              <w:pStyle w:val="A"/>
              <w:numPr>
                <w:ilvl w:val="0"/>
                <w:numId w:val="0"/>
              </w:numPr>
              <w:spacing w:after="60"/>
              <w:rPr>
                <w:b w:val="0"/>
                <w:sz w:val="20"/>
                <w:szCs w:val="20"/>
              </w:rPr>
            </w:pPr>
            <w:r w:rsidRPr="009533A2">
              <w:rPr>
                <w:b w:val="0"/>
                <w:i/>
                <w:sz w:val="20"/>
                <w:szCs w:val="20"/>
              </w:rPr>
              <w:t>[Establishment of HVCF will change regime from economic use to protection and this will reduce timber withdrawal at the area conservatively by 69,000 m3 of wet timber based on national statistics. Conversion factor is IPCC conversion factor for beech (dominating species in the region) (0.538 d.m./m3 wet *0.4902 carbon content =0.264 tC per m3. When converted to CO2: 0.264*44/12=0.968 tCO2 per m3 of wet biomass harvested. For 69,000 m3 this is equal 69,000*0.968= 66,792 tCO2 avoided per year. For 10 years this is an avoidance of 667,920 tCO2. Since most of this timber would have been used as fire wood, the assumption is that the non-harvested wood products are negligible under the baseline scenario. This, however, will be studied specifically at the PPG stage.]</w:t>
            </w:r>
          </w:p>
          <w:p w:rsidR="00E83D4D" w:rsidRPr="009533A2" w:rsidRDefault="00E83D4D" w:rsidP="004A7299">
            <w:pPr>
              <w:pStyle w:val="A"/>
              <w:numPr>
                <w:ilvl w:val="0"/>
                <w:numId w:val="0"/>
              </w:numPr>
              <w:spacing w:after="60"/>
              <w:rPr>
                <w:b w:val="0"/>
                <w:sz w:val="20"/>
                <w:szCs w:val="20"/>
              </w:rPr>
            </w:pPr>
            <w:r w:rsidRPr="009533A2">
              <w:rPr>
                <w:b w:val="0"/>
                <w:sz w:val="20"/>
                <w:szCs w:val="20"/>
              </w:rPr>
              <w:t>Native species reforestation/afforestation (at least 3,000 ha): restored carbon sequestration capacity of forests: 180,660 tCO2-eq sequestered in 10 years</w:t>
            </w:r>
          </w:p>
          <w:p w:rsidR="00E83D4D" w:rsidRPr="009533A2" w:rsidRDefault="00E83D4D" w:rsidP="004A7299">
            <w:pPr>
              <w:pStyle w:val="A"/>
              <w:numPr>
                <w:ilvl w:val="0"/>
                <w:numId w:val="0"/>
              </w:numPr>
              <w:spacing w:after="60"/>
              <w:rPr>
                <w:b w:val="0"/>
                <w:i/>
                <w:sz w:val="20"/>
                <w:szCs w:val="20"/>
              </w:rPr>
            </w:pPr>
            <w:r w:rsidRPr="009533A2">
              <w:rPr>
                <w:b w:val="0"/>
                <w:i/>
                <w:sz w:val="20"/>
                <w:szCs w:val="20"/>
              </w:rPr>
              <w:t xml:space="preserve">[Calculation of the sequestration benefit: The IPCC Good Practice Guidance for National Inventories (2006, AFOLU Volume, Table 4.12) estimates for temperate mountaine systems the annual increment of biomass in plantations (under 20 years) to be 3.0 tons </w:t>
            </w:r>
            <w:r w:rsidRPr="009533A2">
              <w:rPr>
                <w:b w:val="0"/>
                <w:i/>
                <w:sz w:val="20"/>
                <w:szCs w:val="20"/>
              </w:rPr>
              <w:lastRenderedPageBreak/>
              <w:t xml:space="preserve">aboveground dry biomass per year or 1.38 tons of carbon per year (IPCC conversion factor of 0.46 for d.m. to C conversion). The relevant root to shoot ratio is 0.23 (IPCC table 4.4), the total carbon increment per ha is therefore 1.38+1.38*0.23=1.70 tC/ha, or, when converted to CO2, is 6.22 tCO2-eq per ha per year (litter and soil carbon pool fluxes are ignored for conservatism at this stage). This indicator has been adopted as reasonable indicator of carbon sequestration rates, so for 3,000 ha of forests targeted by Output 2.3, the annual sequestration benefit is estimated to be </w:t>
            </w:r>
            <w:r w:rsidRPr="009533A2">
              <w:rPr>
                <w:b w:val="0"/>
                <w:i/>
                <w:sz w:val="20"/>
                <w:szCs w:val="20"/>
                <w:u w:val="single"/>
              </w:rPr>
              <w:t>6.22*3,000 = 18,660 tCO2/y, or 180,660 tCO2-eq sequestered in 10 years</w:t>
            </w:r>
            <w:r w:rsidRPr="009533A2">
              <w:rPr>
                <w:b w:val="0"/>
                <w:i/>
                <w:sz w:val="20"/>
                <w:szCs w:val="20"/>
              </w:rPr>
              <w:t>. This figure is used as an initial estimate at the PIF stage, recognizing that that the sequestration progression here is non-linear; a detailed calculation will be implemented using a corresponding carbon benefits calculator at the PPG stage]</w:t>
            </w:r>
          </w:p>
          <w:p w:rsidR="00E83D4D" w:rsidRPr="009533A2" w:rsidRDefault="00E83D4D" w:rsidP="004A7299">
            <w:pPr>
              <w:pStyle w:val="A"/>
              <w:numPr>
                <w:ilvl w:val="0"/>
                <w:numId w:val="0"/>
              </w:numPr>
              <w:spacing w:after="60"/>
              <w:rPr>
                <w:sz w:val="20"/>
                <w:szCs w:val="20"/>
              </w:rPr>
            </w:pPr>
            <w:r w:rsidRPr="009533A2">
              <w:rPr>
                <w:sz w:val="20"/>
                <w:szCs w:val="20"/>
              </w:rPr>
              <w:t>BD:</w:t>
            </w:r>
          </w:p>
          <w:p w:rsidR="00E83D4D" w:rsidRPr="009533A2" w:rsidRDefault="00E83D4D" w:rsidP="00F90C49">
            <w:pPr>
              <w:pStyle w:val="A"/>
              <w:numPr>
                <w:ilvl w:val="0"/>
                <w:numId w:val="0"/>
              </w:numPr>
              <w:spacing w:after="60"/>
              <w:rPr>
                <w:b w:val="0"/>
                <w:sz w:val="20"/>
                <w:szCs w:val="20"/>
                <w:lang w:val="ru-RU"/>
              </w:rPr>
            </w:pPr>
            <w:r w:rsidRPr="009533A2">
              <w:rPr>
                <w:b w:val="0"/>
                <w:sz w:val="20"/>
                <w:szCs w:val="20"/>
              </w:rPr>
              <w:t>- Increase or stable numbers of brown bear (</w:t>
            </w:r>
            <w:r w:rsidRPr="009533A2">
              <w:rPr>
                <w:b w:val="0"/>
                <w:i/>
                <w:sz w:val="20"/>
                <w:szCs w:val="20"/>
              </w:rPr>
              <w:t>Ursus arctos</w:t>
            </w:r>
            <w:r w:rsidRPr="009533A2">
              <w:rPr>
                <w:b w:val="0"/>
                <w:sz w:val="20"/>
                <w:szCs w:val="20"/>
              </w:rPr>
              <w:t>) and lynx (</w:t>
            </w:r>
            <w:r w:rsidRPr="009533A2">
              <w:rPr>
                <w:b w:val="0"/>
                <w:i/>
                <w:sz w:val="20"/>
                <w:szCs w:val="20"/>
              </w:rPr>
              <w:t>Lynx lynx</w:t>
            </w:r>
            <w:r w:rsidRPr="009533A2">
              <w:rPr>
                <w:b w:val="0"/>
                <w:sz w:val="20"/>
                <w:szCs w:val="20"/>
              </w:rPr>
              <w:t>) over project period.</w:t>
            </w:r>
          </w:p>
          <w:p w:rsidR="00E83D4D" w:rsidRPr="009533A2" w:rsidRDefault="00E83D4D" w:rsidP="004A7299">
            <w:pPr>
              <w:spacing w:after="60" w:line="240" w:lineRule="auto"/>
              <w:rPr>
                <w:rFonts w:ascii="Times New Roman" w:hAnsi="Times New Roman" w:cs="Times New Roman"/>
                <w:b/>
                <w:color w:val="auto"/>
                <w:kern w:val="0"/>
                <w:sz w:val="20"/>
                <w:szCs w:val="20"/>
              </w:rPr>
            </w:pPr>
            <w:r w:rsidRPr="009533A2">
              <w:rPr>
                <w:rFonts w:ascii="Times New Roman" w:hAnsi="Times New Roman" w:cs="Times New Roman"/>
                <w:color w:val="auto"/>
                <w:kern w:val="0"/>
                <w:sz w:val="20"/>
                <w:szCs w:val="20"/>
              </w:rPr>
              <w:t>All dividends will be verified during the PPG stage, in conjunction with the completion of corresponding GEF Tracking Tools.</w:t>
            </w:r>
          </w:p>
        </w:tc>
      </w:tr>
    </w:tbl>
    <w:p w:rsidR="00E83D4D" w:rsidRPr="009533A2" w:rsidRDefault="00E83D4D" w:rsidP="00352FA2">
      <w:pPr>
        <w:pStyle w:val="A"/>
        <w:numPr>
          <w:ilvl w:val="0"/>
          <w:numId w:val="0"/>
        </w:numPr>
        <w:rPr>
          <w:sz w:val="21"/>
          <w:szCs w:val="21"/>
        </w:rPr>
      </w:pPr>
    </w:p>
    <w:p w:rsidR="00E83D4D" w:rsidRPr="009533A2" w:rsidRDefault="00E83D4D" w:rsidP="006F4042">
      <w:pPr>
        <w:pStyle w:val="aaa"/>
        <w:jc w:val="both"/>
      </w:pPr>
      <w:r w:rsidRPr="009533A2">
        <w:t>Innovativeness, sustainability and potential for scaling up</w:t>
      </w:r>
    </w:p>
    <w:p w:rsidR="0036298D" w:rsidRPr="009533A2" w:rsidRDefault="0036298D" w:rsidP="00367C3B">
      <w:pPr>
        <w:pStyle w:val="NumberedParasinaPIF"/>
        <w:spacing w:before="80" w:after="60"/>
        <w:rPr>
          <w:sz w:val="21"/>
          <w:szCs w:val="21"/>
        </w:rPr>
      </w:pPr>
      <w:r w:rsidRPr="009533A2">
        <w:rPr>
          <w:sz w:val="21"/>
          <w:szCs w:val="21"/>
          <w:u w:val="single"/>
        </w:rPr>
        <w:t>Innovativeness:</w:t>
      </w:r>
      <w:r w:rsidRPr="009533A2">
        <w:rPr>
          <w:sz w:val="21"/>
          <w:szCs w:val="21"/>
        </w:rPr>
        <w:t xml:space="preserve"> The integrated approach being implemented through the project (i.e. combining SLM, forest management, bi</w:t>
      </w:r>
      <w:r w:rsidR="007E36B9" w:rsidRPr="009533A2">
        <w:rPr>
          <w:sz w:val="21"/>
          <w:szCs w:val="21"/>
        </w:rPr>
        <w:t>o</w:t>
      </w:r>
      <w:r w:rsidRPr="009533A2">
        <w:rPr>
          <w:sz w:val="21"/>
          <w:szCs w:val="21"/>
        </w:rPr>
        <w:t xml:space="preserve">doversity conservation, community-based management of forested land, policy and regulation review, financing mechanisms, alternative livelihoods, and training) as a coordinated partnership between government administrations and local stakeholders will provide an innovative example that is expected will to (a) generate important lessons for other marzes in Armenia and similar forested/pasture landscapes in the region, and (b) build new national expertise in new fields </w:t>
      </w:r>
      <w:r w:rsidR="00D72D53" w:rsidRPr="009533A2">
        <w:rPr>
          <w:sz w:val="21"/>
          <w:szCs w:val="21"/>
        </w:rPr>
        <w:t>(e.g. land use planning and mainstreaming biodiversity considerations into forestry sector). Further, t</w:t>
      </w:r>
      <w:r w:rsidR="00E83D4D" w:rsidRPr="009533A2">
        <w:rPr>
          <w:sz w:val="21"/>
          <w:szCs w:val="21"/>
        </w:rPr>
        <w:t xml:space="preserve">he project </w:t>
      </w:r>
      <w:r w:rsidR="008B6D07" w:rsidRPr="009533A2">
        <w:rPr>
          <w:sz w:val="21"/>
          <w:szCs w:val="21"/>
        </w:rPr>
        <w:t xml:space="preserve">will illustrate a new approach to land use planning and the allocation of land between different land uses in Armenia as it </w:t>
      </w:r>
      <w:r w:rsidR="00E83D4D" w:rsidRPr="009533A2">
        <w:rPr>
          <w:sz w:val="21"/>
          <w:szCs w:val="21"/>
        </w:rPr>
        <w:t xml:space="preserve">will bring together the various stakeholders within a landscape and develop Integrated Forest and Land Use Plans. The delineation of protection forests in Forest Management Plans focusing on the connectivity and long-term resilience of forests and linking these to stable populations of carnivores is also a new fresh approach to forest management in Armenia. </w:t>
      </w:r>
      <w:r w:rsidR="008B09B6" w:rsidRPr="009533A2">
        <w:rPr>
          <w:sz w:val="21"/>
          <w:szCs w:val="21"/>
        </w:rPr>
        <w:t>The feasibility of a PES scheme will be explored during the PPG stage and if found feasible will add to the innovativeness of the project as community members will receive direct ben</w:t>
      </w:r>
      <w:r w:rsidR="007E36B9" w:rsidRPr="009533A2">
        <w:rPr>
          <w:sz w:val="21"/>
          <w:szCs w:val="21"/>
        </w:rPr>
        <w:t>e</w:t>
      </w:r>
      <w:r w:rsidR="008B09B6" w:rsidRPr="009533A2">
        <w:rPr>
          <w:sz w:val="21"/>
          <w:szCs w:val="21"/>
        </w:rPr>
        <w:t xml:space="preserve">fits through payments from private sector and other stakeholders </w:t>
      </w:r>
      <w:r w:rsidR="008B6D07" w:rsidRPr="009533A2">
        <w:rPr>
          <w:sz w:val="21"/>
          <w:szCs w:val="21"/>
        </w:rPr>
        <w:t xml:space="preserve">for the maintenance of the important forest linked ecosystems services being provided. </w:t>
      </w:r>
    </w:p>
    <w:p w:rsidR="00E83D4D" w:rsidRPr="009533A2" w:rsidRDefault="0036298D" w:rsidP="00367C3B">
      <w:pPr>
        <w:pStyle w:val="NumberedParasinaPIF"/>
        <w:spacing w:before="80" w:after="60"/>
        <w:rPr>
          <w:noProof w:val="0"/>
          <w:sz w:val="21"/>
          <w:szCs w:val="21"/>
        </w:rPr>
      </w:pPr>
      <w:r w:rsidRPr="009533A2">
        <w:rPr>
          <w:sz w:val="21"/>
          <w:szCs w:val="21"/>
          <w:u w:val="single"/>
        </w:rPr>
        <w:t>Potential for scaling up:</w:t>
      </w:r>
      <w:r w:rsidRPr="009533A2">
        <w:rPr>
          <w:sz w:val="21"/>
          <w:szCs w:val="21"/>
        </w:rPr>
        <w:t xml:space="preserve"> </w:t>
      </w:r>
      <w:r w:rsidR="00E83D4D" w:rsidRPr="009533A2">
        <w:rPr>
          <w:sz w:val="21"/>
          <w:szCs w:val="21"/>
          <w:lang w:val="en-GB"/>
        </w:rPr>
        <w:t xml:space="preserve">While this is a relatively small investment, its replication potential goes far beyond the target areas. </w:t>
      </w:r>
      <w:r w:rsidR="00E83D4D" w:rsidRPr="009533A2">
        <w:rPr>
          <w:sz w:val="21"/>
          <w:szCs w:val="21"/>
        </w:rPr>
        <w:t>The project will also develop a</w:t>
      </w:r>
      <w:r w:rsidR="00E83D4D" w:rsidRPr="009533A2">
        <w:rPr>
          <w:sz w:val="21"/>
          <w:szCs w:val="21"/>
          <w:lang w:val="en-GB"/>
        </w:rPr>
        <w:t xml:space="preserve"> forest/pasture carbon flux monitoring system. While the system is going to be implemented at the project target sites, it would also be applicable in similar ecosystems in Armenia and neighboring countries. </w:t>
      </w:r>
      <w:r w:rsidR="00EC173B" w:rsidRPr="009533A2">
        <w:rPr>
          <w:sz w:val="21"/>
          <w:szCs w:val="21"/>
          <w:lang w:val="en-GB"/>
        </w:rPr>
        <w:t xml:space="preserve">The project will further test both the effectiveness of providing alternative livelihood programs (including a possible PES scheme if found feasible in PPG stage) </w:t>
      </w:r>
      <w:r w:rsidR="0010444C" w:rsidRPr="009533A2">
        <w:rPr>
          <w:sz w:val="21"/>
          <w:szCs w:val="21"/>
          <w:lang w:val="en-GB"/>
        </w:rPr>
        <w:t xml:space="preserve">and enhanced capacities in enforcment of Integrated Forest and Land Use Plans </w:t>
      </w:r>
      <w:r w:rsidR="00EC173B" w:rsidRPr="009533A2">
        <w:rPr>
          <w:sz w:val="21"/>
          <w:szCs w:val="21"/>
          <w:lang w:val="en-GB"/>
        </w:rPr>
        <w:t>in reducing illegal logging. Th</w:t>
      </w:r>
      <w:r w:rsidR="0010444C" w:rsidRPr="009533A2">
        <w:rPr>
          <w:sz w:val="21"/>
          <w:szCs w:val="21"/>
          <w:lang w:val="en-GB"/>
        </w:rPr>
        <w:t>e</w:t>
      </w:r>
      <w:r w:rsidR="00EC173B" w:rsidRPr="009533A2">
        <w:rPr>
          <w:sz w:val="21"/>
          <w:szCs w:val="21"/>
          <w:lang w:val="en-GB"/>
        </w:rPr>
        <w:t xml:space="preserve"> </w:t>
      </w:r>
      <w:r w:rsidR="0010444C" w:rsidRPr="009533A2">
        <w:rPr>
          <w:sz w:val="21"/>
          <w:szCs w:val="21"/>
          <w:lang w:val="en-GB"/>
        </w:rPr>
        <w:t xml:space="preserve">livelihood </w:t>
      </w:r>
      <w:r w:rsidR="00EC173B" w:rsidRPr="009533A2">
        <w:rPr>
          <w:sz w:val="21"/>
          <w:szCs w:val="21"/>
          <w:lang w:val="en-GB"/>
        </w:rPr>
        <w:t>program ha</w:t>
      </w:r>
      <w:r w:rsidR="00BC3B92" w:rsidRPr="009533A2">
        <w:rPr>
          <w:sz w:val="21"/>
          <w:szCs w:val="21"/>
          <w:lang w:val="en-GB"/>
        </w:rPr>
        <w:t>s</w:t>
      </w:r>
      <w:r w:rsidR="00EC173B" w:rsidRPr="009533A2">
        <w:rPr>
          <w:sz w:val="21"/>
          <w:szCs w:val="21"/>
          <w:lang w:val="en-GB"/>
        </w:rPr>
        <w:t xml:space="preserve"> great potential for upscaling through additional Government financial support in the NE Armenia region, but also in other forested areas in Armenia and the South Caucasus region.</w:t>
      </w:r>
      <w:r w:rsidR="0010444C" w:rsidRPr="009533A2">
        <w:rPr>
          <w:sz w:val="21"/>
          <w:szCs w:val="21"/>
          <w:lang w:val="en-GB"/>
        </w:rPr>
        <w:t xml:space="preserve"> The efficacy of enhanced enforcement on halting illegal logging has replication implications not only at a local and regional scale but also in addressing other land use strictures that are not being enforced. </w:t>
      </w:r>
    </w:p>
    <w:p w:rsidR="00E83D4D" w:rsidRPr="009533A2" w:rsidRDefault="0036298D" w:rsidP="00E340CD">
      <w:pPr>
        <w:pStyle w:val="NumberedParasinaPIF"/>
        <w:spacing w:before="80" w:after="60"/>
        <w:rPr>
          <w:noProof w:val="0"/>
          <w:sz w:val="21"/>
          <w:szCs w:val="21"/>
        </w:rPr>
      </w:pPr>
      <w:r w:rsidRPr="009533A2">
        <w:rPr>
          <w:sz w:val="21"/>
          <w:szCs w:val="21"/>
          <w:u w:val="single"/>
          <w:lang w:val="en-GB"/>
        </w:rPr>
        <w:t>Sustainability:</w:t>
      </w:r>
      <w:r w:rsidRPr="009533A2">
        <w:rPr>
          <w:sz w:val="21"/>
          <w:szCs w:val="21"/>
          <w:lang w:val="en-GB"/>
        </w:rPr>
        <w:t xml:space="preserve"> T</w:t>
      </w:r>
      <w:r w:rsidR="00E83D4D" w:rsidRPr="009533A2">
        <w:rPr>
          <w:sz w:val="21"/>
          <w:szCs w:val="21"/>
          <w:lang w:val="en-GB"/>
        </w:rPr>
        <w:t xml:space="preserve">his project </w:t>
      </w:r>
      <w:r w:rsidRPr="009533A2">
        <w:rPr>
          <w:sz w:val="21"/>
          <w:szCs w:val="21"/>
          <w:lang w:val="en-GB"/>
        </w:rPr>
        <w:t>is building on a strong baseline</w:t>
      </w:r>
      <w:r w:rsidR="00E83D4D" w:rsidRPr="009533A2">
        <w:rPr>
          <w:sz w:val="21"/>
          <w:szCs w:val="21"/>
          <w:lang w:val="en-GB"/>
        </w:rPr>
        <w:t>. First, a policy and institutional framework for mainstreaming biodiversity and integrating natural resource management into land use planning already exists. Secondly, there is a strong commitment from Government to address the the forest and land degradation issues in NE Armenia, as this the where the bulk of the forest are found and</w:t>
      </w:r>
      <w:r w:rsidR="006D06FF" w:rsidRPr="009533A2">
        <w:rPr>
          <w:sz w:val="21"/>
          <w:szCs w:val="21"/>
          <w:lang w:val="en-GB"/>
        </w:rPr>
        <w:t xml:space="preserve"> the source of many rivers. Thir</w:t>
      </w:r>
      <w:r w:rsidR="00E83D4D" w:rsidRPr="009533A2">
        <w:rPr>
          <w:sz w:val="21"/>
          <w:szCs w:val="21"/>
          <w:lang w:val="en-GB"/>
        </w:rPr>
        <w:t xml:space="preserve">dly, the project has financial sustainability written into it, through the review and realignment of public expenditure and the brokering of additional public and private funding towards natural resource management. The key gaps in the current process are capacity and coordination among all the spheres of Government to recognise the values of natural resources and the ecosystem values it provides and the application of this recognition in the land use allocation and permitting process – which this project is designed to address. The project aims to empower local stakeholders (self-governing bodies, private landowners, communities, foresters) to become custodians of the important natural resources. Specifically, the project will: (a) Improve capacity of all regulatory authorities that impact on natural resources at a regional and community level and support the embedding of this by developing sustainable mechanisms for institutional cooperation and coordination between spheres of government, civil society that deliver improved regulatory efficiencies and effectiveness; (b) </w:t>
      </w:r>
      <w:r w:rsidR="0056417B" w:rsidRPr="009533A2">
        <w:rPr>
          <w:sz w:val="21"/>
          <w:szCs w:val="21"/>
          <w:lang w:val="en-GB"/>
        </w:rPr>
        <w:t>R</w:t>
      </w:r>
      <w:r w:rsidR="00E83D4D" w:rsidRPr="009533A2">
        <w:rPr>
          <w:sz w:val="21"/>
          <w:szCs w:val="21"/>
          <w:lang w:val="en-GB"/>
        </w:rPr>
        <w:t>ecommend realignment of public expenditure streams and brokering additional funds for sustainable forest and land management; (c) Empower local decision-making bodies and communities to co-manage natural resources.</w:t>
      </w:r>
    </w:p>
    <w:p w:rsidR="00E83D4D" w:rsidRPr="009533A2" w:rsidRDefault="00E83D4D" w:rsidP="00323B08">
      <w:pPr>
        <w:spacing w:after="80"/>
        <w:jc w:val="both"/>
        <w:outlineLvl w:val="0"/>
        <w:rPr>
          <w:rFonts w:ascii="Times New Roman" w:hAnsi="Times New Roman" w:cs="Times New Roman"/>
          <w:color w:val="auto"/>
          <w:sz w:val="21"/>
          <w:szCs w:val="21"/>
        </w:rPr>
      </w:pPr>
      <w:r w:rsidRPr="009533A2">
        <w:rPr>
          <w:rFonts w:ascii="Times New Roman" w:hAnsi="Times New Roman" w:cs="Times New Roman"/>
          <w:color w:val="auto"/>
          <w:sz w:val="21"/>
          <w:szCs w:val="21"/>
        </w:rPr>
        <w:t>A.2. Stakeholders.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48"/>
        <w:gridCol w:w="9468"/>
      </w:tblGrid>
      <w:tr w:rsidR="00E83D4D" w:rsidRPr="009533A2" w:rsidTr="004A7299">
        <w:tc>
          <w:tcPr>
            <w:tcW w:w="1548" w:type="dxa"/>
          </w:tcPr>
          <w:p w:rsidR="00E83D4D" w:rsidRPr="009533A2" w:rsidRDefault="00E83D4D" w:rsidP="004A7299">
            <w:pPr>
              <w:spacing w:after="80" w:line="240" w:lineRule="auto"/>
              <w:jc w:val="center"/>
              <w:outlineLvl w:val="0"/>
              <w:rPr>
                <w:rFonts w:ascii="Times New Roman" w:hAnsi="Times New Roman" w:cs="Times New Roman"/>
                <w:b/>
                <w:color w:val="auto"/>
                <w:kern w:val="0"/>
                <w:sz w:val="20"/>
                <w:szCs w:val="20"/>
              </w:rPr>
            </w:pPr>
            <w:r w:rsidRPr="009533A2">
              <w:rPr>
                <w:rFonts w:ascii="Times New Roman" w:hAnsi="Times New Roman" w:cs="Times New Roman"/>
                <w:b/>
                <w:color w:val="auto"/>
                <w:kern w:val="0"/>
                <w:sz w:val="20"/>
                <w:szCs w:val="20"/>
              </w:rPr>
              <w:t>Stakeholders</w:t>
            </w:r>
          </w:p>
        </w:tc>
        <w:tc>
          <w:tcPr>
            <w:tcW w:w="9468" w:type="dxa"/>
          </w:tcPr>
          <w:p w:rsidR="00E83D4D" w:rsidRPr="009533A2" w:rsidRDefault="00E83D4D" w:rsidP="004A7299">
            <w:pPr>
              <w:spacing w:after="80" w:line="240" w:lineRule="auto"/>
              <w:jc w:val="center"/>
              <w:outlineLvl w:val="0"/>
              <w:rPr>
                <w:rFonts w:ascii="Times New Roman" w:hAnsi="Times New Roman" w:cs="Times New Roman"/>
                <w:b/>
                <w:color w:val="auto"/>
                <w:kern w:val="0"/>
                <w:sz w:val="20"/>
                <w:szCs w:val="20"/>
              </w:rPr>
            </w:pPr>
            <w:r w:rsidRPr="009533A2">
              <w:rPr>
                <w:rFonts w:ascii="Times New Roman" w:hAnsi="Times New Roman" w:cs="Times New Roman"/>
                <w:b/>
                <w:color w:val="auto"/>
                <w:kern w:val="0"/>
                <w:sz w:val="20"/>
                <w:szCs w:val="20"/>
              </w:rPr>
              <w:t>Project Role</w:t>
            </w:r>
          </w:p>
        </w:tc>
      </w:tr>
      <w:tr w:rsidR="00E83D4D" w:rsidRPr="009533A2" w:rsidTr="004A7299">
        <w:tc>
          <w:tcPr>
            <w:tcW w:w="154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lastRenderedPageBreak/>
              <w:t>Ministry of Nature Protection</w:t>
            </w:r>
          </w:p>
        </w:tc>
        <w:tc>
          <w:tcPr>
            <w:tcW w:w="9468" w:type="dxa"/>
          </w:tcPr>
          <w:p w:rsidR="00E83D4D" w:rsidRPr="009533A2" w:rsidRDefault="00E83D4D" w:rsidP="00D525AA">
            <w:pPr>
              <w:spacing w:after="80" w:line="240" w:lineRule="auto"/>
              <w:jc w:val="both"/>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The Ministry will facilitate functioning of the project implementation unit (PIU), especially in regard to liaison with government authorities from different sectors. It will oversee integration of conservation measures and monitoring system into the Integrated Forest and Land Use Plans and annual workplans, and contribute to capacity building of stakeholders (public/private/community) in NE Armenia project sites. Ministry will ensure coordination with other relevant projects and initiatives and will be active in monitoring the PIU activities.</w:t>
            </w:r>
            <w:r w:rsidRPr="009533A2">
              <w:rPr>
                <w:color w:val="000000"/>
                <w:sz w:val="20"/>
                <w:szCs w:val="20"/>
                <w:lang w:val="en-GB"/>
              </w:rPr>
              <w:t xml:space="preserve"> </w:t>
            </w:r>
            <w:r w:rsidRPr="009533A2">
              <w:rPr>
                <w:rFonts w:ascii="Times New Roman" w:hAnsi="Times New Roman" w:cs="Times New Roman"/>
                <w:color w:val="000000"/>
                <w:sz w:val="20"/>
                <w:szCs w:val="20"/>
                <w:lang w:val="en-GB"/>
              </w:rPr>
              <w:t>The Ministry is the focal point for UNCCD, UNFCCC and CBD.</w:t>
            </w:r>
            <w:r w:rsidRPr="009533A2">
              <w:rPr>
                <w:rFonts w:ascii="Times New Roman" w:hAnsi="Times New Roman" w:cs="Times New Roman"/>
                <w:color w:val="auto"/>
                <w:kern w:val="0"/>
                <w:sz w:val="20"/>
                <w:szCs w:val="20"/>
              </w:rPr>
              <w:t xml:space="preserve"> </w:t>
            </w:r>
          </w:p>
        </w:tc>
      </w:tr>
      <w:tr w:rsidR="00E83D4D" w:rsidRPr="009533A2" w:rsidTr="004A7299">
        <w:tc>
          <w:tcPr>
            <w:tcW w:w="154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Ministry of Agriculture</w:t>
            </w:r>
          </w:p>
        </w:tc>
        <w:tc>
          <w:tcPr>
            <w:tcW w:w="9468" w:type="dxa"/>
          </w:tcPr>
          <w:p w:rsidR="00E83D4D" w:rsidRPr="009533A2" w:rsidRDefault="00E83D4D" w:rsidP="004A7299">
            <w:pPr>
              <w:spacing w:after="80" w:line="240" w:lineRule="auto"/>
              <w:jc w:val="both"/>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The Ministry of Agriculture oversees the management of forestland and agricultural land in Armenia. The Ministry will be involved in the development of the Integrated Forest and Land Use Plans. It would also facilitate the establishment of protected forests under the project as well as lead in the establishment of pasture management protocol development. Under the Ministry, “Hayantar” SNCO is responsible for preservation and protection of forestland, reforestation of degraded land. It will be involved in the development and implementation of the Forest Management Plans and oversight of the community forests established under the project. The Forest State Monitoring Centre monitors the implementation of Forest Management Plans, and will be involved through the improvement of this system through increased transparency and capacity development. </w:t>
            </w:r>
          </w:p>
        </w:tc>
      </w:tr>
      <w:tr w:rsidR="00E83D4D" w:rsidRPr="009533A2" w:rsidTr="004A7299">
        <w:tc>
          <w:tcPr>
            <w:tcW w:w="154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NE Armenia Regional Administration Authorities (Marzes of Lori and Tavush)</w:t>
            </w:r>
          </w:p>
        </w:tc>
        <w:tc>
          <w:tcPr>
            <w:tcW w:w="9468" w:type="dxa"/>
          </w:tcPr>
          <w:p w:rsidR="00E83D4D" w:rsidRPr="009533A2" w:rsidRDefault="00E83D4D" w:rsidP="004A7299">
            <w:pPr>
              <w:spacing w:after="80" w:line="240" w:lineRule="auto"/>
              <w:jc w:val="both"/>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The Regional Administration Authorities of the two marzes are responsible for the development and implementation of the Integrated Forest and Land Use Plans in each of the respective regions. Further, they have a direct enforcement role in the areas within the region that does not fall within the jurisdiction of the local self-governing bodies and also fulfills a monitoring role in land use practices in the areas under the jurisdiction of the self-governing bodies. They will be involved in the project to the development of the IFLUPs and its implementation, monitoring and enforcement. </w:t>
            </w:r>
          </w:p>
        </w:tc>
      </w:tr>
      <w:tr w:rsidR="00E83D4D" w:rsidRPr="009533A2" w:rsidTr="004A7299">
        <w:tc>
          <w:tcPr>
            <w:tcW w:w="154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Local Self-Governing Bodies</w:t>
            </w:r>
          </w:p>
        </w:tc>
        <w:tc>
          <w:tcPr>
            <w:tcW w:w="9468" w:type="dxa"/>
          </w:tcPr>
          <w:p w:rsidR="00E83D4D" w:rsidRPr="009533A2" w:rsidRDefault="00E83D4D" w:rsidP="004A7299">
            <w:pPr>
              <w:spacing w:after="80" w:line="240" w:lineRule="auto"/>
              <w:jc w:val="both"/>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The local bodies are local administrations charged with the day-to-day management of all public works and land located inside their jurisdiction. The bodies will be involved in the project through the implementation and enforcement of the Integrated Forest and Land Use Plans as well as in the reforestation projects on community land, as well as the coordination of pasture management.</w:t>
            </w:r>
          </w:p>
        </w:tc>
      </w:tr>
      <w:tr w:rsidR="00E83D4D" w:rsidRPr="009533A2" w:rsidTr="004A7299">
        <w:tc>
          <w:tcPr>
            <w:tcW w:w="1548" w:type="dxa"/>
          </w:tcPr>
          <w:p w:rsidR="00E83D4D" w:rsidRPr="009533A2" w:rsidRDefault="00E83D4D" w:rsidP="00251DF0">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Wider Public (including local communities , private sector and NGOs)</w:t>
            </w:r>
          </w:p>
        </w:tc>
        <w:tc>
          <w:tcPr>
            <w:tcW w:w="9468" w:type="dxa"/>
          </w:tcPr>
          <w:p w:rsidR="00E83D4D" w:rsidRPr="009533A2" w:rsidRDefault="00E83D4D" w:rsidP="00251DF0">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The involvement of the wider public in sustainable forest and land management and ecosystem conservation is an important part of this project. The environmental NGOs experienced in certain aspects of the project will be involved as much as possible. Local community representatives will be involved in the development of the Integrated Forest and Land Use Plans while selected and interested community members will be involved and responsible for the reforestation on community lands. </w:t>
            </w:r>
          </w:p>
        </w:tc>
      </w:tr>
    </w:tbl>
    <w:p w:rsidR="00E83D4D" w:rsidRPr="009533A2" w:rsidRDefault="00E83D4D" w:rsidP="0059171B">
      <w:pPr>
        <w:spacing w:after="80"/>
        <w:outlineLvl w:val="0"/>
        <w:rPr>
          <w:rFonts w:ascii="Times New Roman" w:hAnsi="Times New Roman" w:cs="Times New Roman"/>
          <w:color w:val="auto"/>
          <w:sz w:val="21"/>
          <w:szCs w:val="21"/>
        </w:rPr>
      </w:pPr>
    </w:p>
    <w:p w:rsidR="00E83D4D" w:rsidRPr="009533A2" w:rsidRDefault="00E83D4D" w:rsidP="0059171B">
      <w:pPr>
        <w:spacing w:after="80"/>
        <w:outlineLvl w:val="0"/>
        <w:rPr>
          <w:rFonts w:ascii="Times New Roman" w:hAnsi="Times New Roman" w:cs="Times New Roman"/>
          <w:color w:val="auto"/>
          <w:sz w:val="21"/>
          <w:szCs w:val="21"/>
        </w:rPr>
      </w:pPr>
      <w:r w:rsidRPr="009533A2">
        <w:rPr>
          <w:rFonts w:ascii="Times New Roman" w:hAnsi="Times New Roman" w:cs="Times New Roman"/>
          <w:color w:val="auto"/>
          <w:sz w:val="21"/>
          <w:szCs w:val="21"/>
        </w:rPr>
        <w:t xml:space="preserve">A.3 Risk.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8"/>
        <w:gridCol w:w="810"/>
        <w:gridCol w:w="7938"/>
      </w:tblGrid>
      <w:tr w:rsidR="00E83D4D" w:rsidRPr="009533A2" w:rsidTr="003F2E28">
        <w:tc>
          <w:tcPr>
            <w:tcW w:w="2268" w:type="dxa"/>
            <w:shd w:val="clear" w:color="auto" w:fill="808080"/>
          </w:tcPr>
          <w:p w:rsidR="00E83D4D" w:rsidRPr="009533A2" w:rsidRDefault="00E83D4D" w:rsidP="004A7299">
            <w:pPr>
              <w:spacing w:after="80" w:line="240" w:lineRule="auto"/>
              <w:outlineLvl w:val="0"/>
              <w:rPr>
                <w:rFonts w:ascii="Times New Roman" w:hAnsi="Times New Roman" w:cs="Times New Roman"/>
                <w:b/>
                <w:color w:val="auto"/>
                <w:kern w:val="0"/>
                <w:sz w:val="20"/>
                <w:szCs w:val="20"/>
              </w:rPr>
            </w:pPr>
            <w:r w:rsidRPr="009533A2">
              <w:rPr>
                <w:rFonts w:ascii="Times New Roman" w:hAnsi="Times New Roman" w:cs="Times New Roman"/>
                <w:b/>
                <w:color w:val="auto"/>
                <w:kern w:val="0"/>
                <w:sz w:val="20"/>
                <w:szCs w:val="20"/>
              </w:rPr>
              <w:t>Risk</w:t>
            </w:r>
          </w:p>
        </w:tc>
        <w:tc>
          <w:tcPr>
            <w:tcW w:w="810" w:type="dxa"/>
            <w:shd w:val="clear" w:color="auto" w:fill="808080"/>
          </w:tcPr>
          <w:p w:rsidR="00E83D4D" w:rsidRPr="009533A2" w:rsidRDefault="00E83D4D" w:rsidP="004A7299">
            <w:pPr>
              <w:spacing w:after="80" w:line="240" w:lineRule="auto"/>
              <w:outlineLvl w:val="0"/>
              <w:rPr>
                <w:rFonts w:ascii="Times New Roman" w:hAnsi="Times New Roman" w:cs="Times New Roman"/>
                <w:b/>
                <w:color w:val="auto"/>
                <w:kern w:val="0"/>
                <w:sz w:val="20"/>
                <w:szCs w:val="20"/>
              </w:rPr>
            </w:pPr>
            <w:r w:rsidRPr="009533A2">
              <w:rPr>
                <w:rFonts w:ascii="Times New Roman" w:hAnsi="Times New Roman" w:cs="Times New Roman"/>
                <w:b/>
                <w:color w:val="auto"/>
                <w:kern w:val="0"/>
                <w:sz w:val="20"/>
                <w:szCs w:val="20"/>
              </w:rPr>
              <w:t>Rating</w:t>
            </w:r>
          </w:p>
        </w:tc>
        <w:tc>
          <w:tcPr>
            <w:tcW w:w="7938" w:type="dxa"/>
            <w:shd w:val="clear" w:color="auto" w:fill="808080"/>
          </w:tcPr>
          <w:p w:rsidR="00E83D4D" w:rsidRPr="009533A2" w:rsidRDefault="00E83D4D" w:rsidP="004A7299">
            <w:pPr>
              <w:spacing w:after="80" w:line="240" w:lineRule="auto"/>
              <w:outlineLvl w:val="0"/>
              <w:rPr>
                <w:rFonts w:ascii="Times New Roman" w:hAnsi="Times New Roman" w:cs="Times New Roman"/>
                <w:b/>
                <w:color w:val="auto"/>
                <w:kern w:val="0"/>
                <w:sz w:val="20"/>
                <w:szCs w:val="20"/>
              </w:rPr>
            </w:pPr>
            <w:r w:rsidRPr="009533A2">
              <w:rPr>
                <w:rFonts w:ascii="Times New Roman" w:hAnsi="Times New Roman" w:cs="Times New Roman"/>
                <w:b/>
                <w:color w:val="auto"/>
                <w:kern w:val="0"/>
                <w:sz w:val="20"/>
                <w:szCs w:val="20"/>
              </w:rPr>
              <w:t>Management Strategy</w:t>
            </w:r>
          </w:p>
        </w:tc>
      </w:tr>
      <w:tr w:rsidR="00E83D4D" w:rsidRPr="009533A2" w:rsidTr="003F2E28">
        <w:tc>
          <w:tcPr>
            <w:tcW w:w="226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Proposed enabling legal and institutional framework is not modified/adopted or adoption is not timely.</w:t>
            </w:r>
          </w:p>
        </w:tc>
        <w:tc>
          <w:tcPr>
            <w:tcW w:w="810" w:type="dxa"/>
            <w:tcMar>
              <w:left w:w="58" w:type="dxa"/>
              <w:right w:w="58" w:type="dxa"/>
            </w:tcMar>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Moderate</w:t>
            </w:r>
          </w:p>
        </w:tc>
        <w:tc>
          <w:tcPr>
            <w:tcW w:w="793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The project is led by the government agencies responsible for setting up environmental policies in Armenia; the local ownership of the project is high. The Government of Armenia has initiated the reform of its environmental policies. Inevitably, the fundamental changes to the roles of the state under a reformed land management and forest management system will be difficult unless there is clear political understanding of the need for these changes, and a full commitment to making this. To some extent this understanding and commitment have already been built. This will be further strengthened in making the economic case for SFM/SLM and biodiversity conservation and showcasing its value in NE Armenia. In order to further mitigate this risk, UNDP will maintain a watching brief over commitment and work with national and regional authorities to expedite legal and policy reforms. </w:t>
            </w:r>
          </w:p>
        </w:tc>
      </w:tr>
      <w:tr w:rsidR="00E83D4D" w:rsidRPr="009533A2" w:rsidTr="003F2E28">
        <w:tc>
          <w:tcPr>
            <w:tcW w:w="226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Conflicts and misunderstandings among public institutions, private sector partners, NGOs and resource users undermine partnership approaches and implementation of cooperative governance arrangements</w:t>
            </w:r>
          </w:p>
        </w:tc>
        <w:tc>
          <w:tcPr>
            <w:tcW w:w="810" w:type="dxa"/>
            <w:tcMar>
              <w:left w:w="58" w:type="dxa"/>
              <w:right w:w="58" w:type="dxa"/>
            </w:tcMar>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Moderate</w:t>
            </w:r>
          </w:p>
        </w:tc>
        <w:tc>
          <w:tcPr>
            <w:tcW w:w="793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Clearly, the establishment of new pasture, forestry and biodiversity user rights will inevitably cause some initial misunderstandings and potential disagreements. Communities and individual land users lack experience of collaboration with each other. The project is designed with the view to mitigate this risk through a participatory approach to INRM, a strong focus on local capacity building and awareness raising. The project will help developing regulatory incentives for land users exercising sustainable and climate resilient land management. Where possible, formal agreements/MoUs will be used to define roles and responsibilities. Training will be provided to stakeholders on governance and conflict resolution. Activities will be designed and implemented in a win-win manner, beneficial to all, as far as possible. The sustainable development of the landscape will be emphasized with arguments that are supported with long-term economic forecasts. </w:t>
            </w:r>
          </w:p>
        </w:tc>
      </w:tr>
      <w:tr w:rsidR="00E83D4D" w:rsidRPr="009533A2" w:rsidTr="003F2E28">
        <w:tc>
          <w:tcPr>
            <w:tcW w:w="226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Land owners/users float planning regulations leading to multiplication of illegal logging and overgrazing</w:t>
            </w:r>
          </w:p>
        </w:tc>
        <w:tc>
          <w:tcPr>
            <w:tcW w:w="810"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High</w:t>
            </w:r>
          </w:p>
        </w:tc>
        <w:tc>
          <w:tcPr>
            <w:tcW w:w="793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The project targets strengthening of compliance monitoring and enforcement to reduce the risk of undesirable behaviors on the part of individual land managers and users. Establishment of landscape level management for a and landscape level management planning through participatory processes, as well as robust implementation of monitoring mechanisms for biodiversity and ecosystem resilience will work towards minimizing the risk. A dialogue with the forestry industry and farmers will be undertaken as part of the process of regional integrated </w:t>
            </w:r>
            <w:r w:rsidRPr="009533A2">
              <w:rPr>
                <w:rFonts w:ascii="Times New Roman" w:hAnsi="Times New Roman" w:cs="Times New Roman"/>
                <w:color w:val="auto"/>
                <w:kern w:val="0"/>
                <w:sz w:val="20"/>
                <w:szCs w:val="20"/>
              </w:rPr>
              <w:lastRenderedPageBreak/>
              <w:t xml:space="preserve">forest and land use planning – to obtain industry buy-in and address concerns, so as to improve compliance. </w:t>
            </w:r>
          </w:p>
        </w:tc>
      </w:tr>
      <w:tr w:rsidR="00E83D4D" w:rsidRPr="009533A2" w:rsidTr="003F2E28">
        <w:tc>
          <w:tcPr>
            <w:tcW w:w="226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lastRenderedPageBreak/>
              <w:t>Low buy-in from communities to the Livelihood Support Scheme</w:t>
            </w:r>
          </w:p>
        </w:tc>
        <w:tc>
          <w:tcPr>
            <w:tcW w:w="810" w:type="dxa"/>
            <w:tcMar>
              <w:left w:w="58" w:type="dxa"/>
              <w:right w:w="58" w:type="dxa"/>
            </w:tcMar>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Moderate</w:t>
            </w:r>
          </w:p>
        </w:tc>
        <w:tc>
          <w:tcPr>
            <w:tcW w:w="793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The experience of UNDP-GEF projects in the region pointed that the way to mitigate this risk lies in professional reach out and marketing of the incentives [product, as well as with careful selection of the host institution, and negotiations on scheme management and communication with residents. This is why, in addition to triggering the capitalization, the incremental value of the GEF rests with support to the deployment of the scheme through providing: (i) initial establishment of the mechanism, (ii) assistance in the marketing of the scheme to local communities, (iii) assistance to villagers in feasibility assessments and application process; (vi) guidance on implementation of specific activities. Focusing GEF resources incrementally on mitigating the risk of non-marketing of the incentive products, has shown to play a critical role in defining the success of the similar schemes in the region: in Croatia COAST project, where the UNDP-GEF project has set a model of integrating green business budget lines into municipal credit schemes; in Russia Komi and Kamtchatka projects, where UNDP-GEF projects set up financial partnerships to support green businesses, and more recently, in the UNDP-GEF Kazakhstan wetlands project which supported local residents in alternative livelihoods at steppe and wetland ecosystems. A detailed feasibility analysis for the livelihood support scheme will be confirmed at the PPG. </w:t>
            </w:r>
          </w:p>
        </w:tc>
      </w:tr>
      <w:tr w:rsidR="00E83D4D" w:rsidRPr="009533A2" w:rsidTr="003F2E28">
        <w:tc>
          <w:tcPr>
            <w:tcW w:w="226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Climate change risk: pasture and forest degradation caused by CC passes the point when the consequences cannot be dealt with through adaptation measures. </w:t>
            </w:r>
          </w:p>
        </w:tc>
        <w:tc>
          <w:tcPr>
            <w:tcW w:w="810" w:type="dxa"/>
            <w:tcMar>
              <w:left w:w="58" w:type="dxa"/>
              <w:right w:w="58" w:type="dxa"/>
            </w:tcMar>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Moderate</w:t>
            </w:r>
          </w:p>
        </w:tc>
        <w:tc>
          <w:tcPr>
            <w:tcW w:w="7938" w:type="dxa"/>
          </w:tcPr>
          <w:p w:rsidR="00E83D4D" w:rsidRPr="009533A2" w:rsidRDefault="00E83D4D" w:rsidP="004A7299">
            <w:pPr>
              <w:spacing w:after="80" w:line="240" w:lineRule="auto"/>
              <w:outlineLvl w:val="0"/>
              <w:rPr>
                <w:rFonts w:ascii="Times New Roman" w:hAnsi="Times New Roman" w:cs="Times New Roman"/>
                <w:color w:val="auto"/>
                <w:kern w:val="0"/>
                <w:sz w:val="20"/>
                <w:szCs w:val="20"/>
              </w:rPr>
            </w:pPr>
            <w:r w:rsidRPr="009533A2">
              <w:rPr>
                <w:rFonts w:ascii="Times New Roman" w:hAnsi="Times New Roman" w:cs="Times New Roman"/>
                <w:color w:val="auto"/>
                <w:kern w:val="0"/>
                <w:sz w:val="20"/>
                <w:szCs w:val="20"/>
              </w:rPr>
              <w:t xml:space="preserve">While during the lifetime of the project, the effects of climate change on the NE Armenia pastures and forests are highly unlikely to be particularly serious; over the longer term climate change is expected to take its toll on the forests. The project is addressing this risk by considering climate change aspects in the integrated land and forest use plans. </w:t>
            </w:r>
          </w:p>
        </w:tc>
      </w:tr>
    </w:tbl>
    <w:p w:rsidR="00E83D4D" w:rsidRPr="009533A2" w:rsidRDefault="00E83D4D" w:rsidP="0059171B">
      <w:pPr>
        <w:spacing w:after="80"/>
        <w:outlineLvl w:val="0"/>
        <w:rPr>
          <w:rFonts w:ascii="Times New Roman" w:hAnsi="Times New Roman" w:cs="Times New Roman"/>
          <w:color w:val="auto"/>
          <w:sz w:val="21"/>
          <w:szCs w:val="21"/>
        </w:rPr>
      </w:pPr>
      <w:r w:rsidRPr="009533A2">
        <w:rPr>
          <w:rFonts w:ascii="Times New Roman" w:hAnsi="Times New Roman" w:cs="Times New Roman"/>
          <w:color w:val="auto"/>
          <w:sz w:val="21"/>
          <w:szCs w:val="21"/>
        </w:rPr>
        <w:t>A.4. Coordination.</w:t>
      </w:r>
    </w:p>
    <w:p w:rsidR="00E83D4D" w:rsidRPr="009533A2" w:rsidRDefault="00E83D4D" w:rsidP="00E340CD">
      <w:pPr>
        <w:pStyle w:val="NumberedParasinaPIF"/>
        <w:spacing w:before="80"/>
        <w:rPr>
          <w:noProof w:val="0"/>
          <w:sz w:val="21"/>
          <w:szCs w:val="21"/>
        </w:rPr>
      </w:pPr>
      <w:r w:rsidRPr="009533A2">
        <w:rPr>
          <w:sz w:val="21"/>
          <w:szCs w:val="21"/>
        </w:rPr>
        <w:t>The proposed project adds value to a number of related initiatives as set out below:</w:t>
      </w:r>
      <w:r w:rsidRPr="009533A2">
        <w:rPr>
          <w:sz w:val="21"/>
          <w:szCs w:val="21"/>
          <w:lang w:val="en-GB"/>
        </w:rPr>
        <w:t xml:space="preserve"> </w:t>
      </w:r>
    </w:p>
    <w:p w:rsidR="00E83D4D" w:rsidRPr="009533A2" w:rsidRDefault="00E83D4D" w:rsidP="00F4127E">
      <w:pPr>
        <w:pStyle w:val="Footer"/>
        <w:jc w:val="both"/>
        <w:rPr>
          <w:sz w:val="21"/>
          <w:szCs w:val="21"/>
        </w:rPr>
      </w:pPr>
      <w:r w:rsidRPr="009533A2">
        <w:rPr>
          <w:sz w:val="21"/>
          <w:szCs w:val="21"/>
        </w:rPr>
        <w:t>The UNDP-GEF project “</w:t>
      </w:r>
      <w:r w:rsidRPr="009533A2">
        <w:rPr>
          <w:i/>
          <w:sz w:val="21"/>
          <w:szCs w:val="21"/>
        </w:rPr>
        <w:t>Adaptation to Climate Change Impacts in Mountain Forests Ecosystems in Armenia”</w:t>
      </w:r>
      <w:r w:rsidRPr="009533A2">
        <w:rPr>
          <w:sz w:val="21"/>
          <w:szCs w:val="21"/>
        </w:rPr>
        <w:t xml:space="preserve"> aims to achieve a normative situation whereby forestry and biodiversity sectors in the Syunik region of south-eastern Armenia are managed in a way that forest ecosystems are better able to adjust to climate change. The main outcomes of the project are: (i) The enabling environment for integrating climate change risks into management of forests ecosystems is in place; (ii) Forests and protected area management in the Syunik region integrates pilot adaptation measures to enhance adaptive capacity of mountain forest ecosystems; (3) Capacities for adaptive management, monitoring and evaluation, learning, and replication of project lessons are developed. The project has reviewed Forest Management Plans for three Forest Enterprises based on climate change models and international expertise. Reforestation works were undertaken and forest fire prevention and early response measures were emplaced. Lessons learnt under this project will be incorporated into the new proposed project. The UNDP-GEF Project </w:t>
      </w:r>
      <w:r w:rsidRPr="009533A2">
        <w:rPr>
          <w:i/>
          <w:sz w:val="21"/>
          <w:szCs w:val="21"/>
        </w:rPr>
        <w:t>“Enabling activities for the preparation of Armenia’s Third National Communication to the UNFCCC”</w:t>
      </w:r>
      <w:r w:rsidRPr="009533A2">
        <w:rPr>
          <w:sz w:val="21"/>
          <w:szCs w:val="21"/>
        </w:rPr>
        <w:t xml:space="preserve"> aims to respond to the objectives of the UN Framework Convention on Climate Change (UNFCCC) in accordance with its commitments as a Party to the Convention mandated by Articles 4 and 12 of the UNFCCC and subsequent COP decisions. The Third National Communication of Armenia to the UNFCCC will be prepared under the project. It will consist of updated information on: i) national circumstances; ii) national greenhouse gas inventory; iii) assessment of vulnerability to climate change and steps taken to adapt to climate change; iv) policies and measures undertaken to mitigate climate change; v) capacity building to develop, transfer, assess environmentally sound technologies and know-how, modalities to absorb them and host projects; vi) public awareness, education, training, research and systematic observation. The UNDP/GEF Project </w:t>
      </w:r>
      <w:r w:rsidRPr="009533A2">
        <w:rPr>
          <w:i/>
          <w:sz w:val="21"/>
          <w:szCs w:val="21"/>
        </w:rPr>
        <w:t>“Catalysing Financial Sustainability of Armenia’s Protected Area System”</w:t>
      </w:r>
      <w:r w:rsidRPr="009533A2">
        <w:rPr>
          <w:sz w:val="21"/>
          <w:szCs w:val="21"/>
        </w:rPr>
        <w:t xml:space="preserve"> has the objective to secure long-term financial sustainability of the Armenian Protected Area System. The objective will be achieved through two components: (i) ensuring sufficiency and predictability of revenue sources for the Protected Area System and (ii) raising cost-effectiveness and capacities of Protected Areas. The project is progressing with substantial resource mobilizing by the Caucasus Nature Fund and increased grant allocation to the Protected Areas of Armenia. The UNDP/GEF </w:t>
      </w:r>
      <w:r w:rsidRPr="009533A2">
        <w:rPr>
          <w:i/>
          <w:sz w:val="21"/>
          <w:szCs w:val="21"/>
        </w:rPr>
        <w:t>“Developing the Protected Area System in Armenia”</w:t>
      </w:r>
      <w:r w:rsidRPr="009533A2">
        <w:rPr>
          <w:sz w:val="21"/>
          <w:szCs w:val="21"/>
        </w:rPr>
        <w:t xml:space="preserve"> project’s objective is to catalyse the expansion of the nature reserves to provide better representation of ecosystems within Armenia’s current PA system and enable active conservation of biodiversity. The project focuses on (i) rationalization of the PA system through improving the regulatory and institutional framework relevant to Sanctuary establishment and operation; and (ii) institutional capacity building by piloting a suite of Sanctuary management tools largely absent from Armenia’s current PA management regime. Both the previous two project are dealing with protected area management while the proposed project will deal with land outside the protected areas. The project will therefore complement each other. The World Bank/GEF Project </w:t>
      </w:r>
      <w:r w:rsidRPr="009533A2">
        <w:rPr>
          <w:i/>
          <w:sz w:val="21"/>
          <w:szCs w:val="21"/>
        </w:rPr>
        <w:t>“Community Agricultural Resource Management and Competitiveness”</w:t>
      </w:r>
      <w:r w:rsidRPr="009533A2">
        <w:rPr>
          <w:sz w:val="21"/>
          <w:szCs w:val="21"/>
        </w:rPr>
        <w:t xml:space="preserve"> - the project development objective is to improve productivity and sustainability of pasture/livestock livelihood systems in selected communities. This would be evidenced by: (i) increased livestock productivity as measured by milk productivity and increase in daily animal weight gain; (ii) increased efficiency of communal pasture management, as measured by increased communal budgetary revenues from lease of pastures; (iii) increased farm sales from livestock; and (iv) increased Pasture Management Effectiveness. This project and the </w:t>
      </w:r>
      <w:r w:rsidRPr="009533A2">
        <w:rPr>
          <w:sz w:val="21"/>
          <w:szCs w:val="21"/>
        </w:rPr>
        <w:lastRenderedPageBreak/>
        <w:t>proposed project will complement each other as the proposed project will develop the overall IFLUPs ensuring land degradation, biodiversity and climate change issues are incorporated while the WB project will then ensure productivity and profitability at a local scale in the pasture and hayfields areas.</w:t>
      </w:r>
    </w:p>
    <w:p w:rsidR="00E83D4D" w:rsidRPr="009533A2" w:rsidRDefault="00E83D4D" w:rsidP="00E340CD">
      <w:pPr>
        <w:pStyle w:val="NumberedParasinaPIF"/>
        <w:spacing w:before="80" w:after="60"/>
        <w:rPr>
          <w:noProof w:val="0"/>
          <w:sz w:val="21"/>
          <w:szCs w:val="21"/>
        </w:rPr>
      </w:pPr>
      <w:r w:rsidRPr="009533A2">
        <w:rPr>
          <w:noProof w:val="0"/>
          <w:color w:val="000000"/>
          <w:sz w:val="21"/>
          <w:szCs w:val="21"/>
          <w:lang w:val="en-GB"/>
        </w:rPr>
        <w:t>A Technical Working Group will be established that ensembles technical experts on SFM, LD and biodiversity conservation and all the related projects in Armenia will be represented on this group. Regular meetings will be held between the different projects to leverage synergies and ensure efficiency in implementing the projects. The studies conducted and information gathered under the other projects will be integrated into project development and implementation.</w:t>
      </w:r>
      <w:r w:rsidR="00460E9D" w:rsidRPr="009533A2">
        <w:rPr>
          <w:noProof w:val="0"/>
          <w:color w:val="000000"/>
          <w:sz w:val="21"/>
          <w:szCs w:val="21"/>
          <w:lang w:val="en-GB"/>
        </w:rPr>
        <w:t xml:space="preserve"> UNDP/GEF is also implementing a similar SFM project in Azerbaijan called “Sustainable land and forest management in the Greater Caucasus landscape”. Close cooperation between the two projects will be ensured based on lessons learned exchanges and the experience in the design of the Azerbaijani project will greatly influence and direct the development of the full project proposal for the proposed Armenian project.</w:t>
      </w:r>
    </w:p>
    <w:p w:rsidR="00E83D4D" w:rsidRPr="009533A2" w:rsidRDefault="00E83D4D" w:rsidP="00502D52">
      <w:pPr>
        <w:spacing w:before="120" w:after="120" w:line="240" w:lineRule="auto"/>
        <w:rPr>
          <w:rFonts w:ascii="Times New Roman" w:hAnsi="Times New Roman" w:cs="Times New Roman"/>
          <w:smallCaps/>
          <w:color w:val="auto"/>
          <w:sz w:val="21"/>
          <w:szCs w:val="21"/>
        </w:rPr>
      </w:pPr>
      <w:r w:rsidRPr="009533A2">
        <w:rPr>
          <w:rFonts w:ascii="Times New Roman" w:hAnsi="Times New Roman" w:cs="Times New Roman"/>
          <w:smallCaps/>
          <w:color w:val="auto"/>
          <w:sz w:val="21"/>
          <w:szCs w:val="21"/>
        </w:rPr>
        <w:t>B</w:t>
      </w:r>
      <w:r w:rsidRPr="009533A2">
        <w:rPr>
          <w:rFonts w:ascii="Times New Roman" w:hAnsi="Times New Roman" w:cs="Times New Roman"/>
          <w:smallCaps/>
          <w:color w:val="auto"/>
          <w:sz w:val="21"/>
          <w:szCs w:val="21"/>
        </w:rPr>
        <w:tab/>
        <w:t>Description of the consistency of the project with:</w:t>
      </w:r>
    </w:p>
    <w:p w:rsidR="00E83D4D" w:rsidRPr="009533A2" w:rsidRDefault="00E83D4D" w:rsidP="00323B08">
      <w:pPr>
        <w:spacing w:after="120" w:line="240" w:lineRule="auto"/>
        <w:rPr>
          <w:rFonts w:ascii="Times New Roman" w:hAnsi="Times New Roman" w:cs="Times New Roman"/>
          <w:color w:val="auto"/>
          <w:sz w:val="21"/>
          <w:szCs w:val="21"/>
        </w:rPr>
      </w:pPr>
      <w:r w:rsidRPr="009533A2">
        <w:rPr>
          <w:rFonts w:ascii="Times New Roman" w:hAnsi="Times New Roman" w:cs="Times New Roman"/>
          <w:color w:val="auto"/>
          <w:sz w:val="21"/>
          <w:szCs w:val="21"/>
        </w:rPr>
        <w:t>B.1 National strategies and plans or reports and assessments under relevant conventions</w:t>
      </w:r>
    </w:p>
    <w:p w:rsidR="00E83D4D" w:rsidRPr="009533A2" w:rsidRDefault="00E83D4D" w:rsidP="00E340CD">
      <w:pPr>
        <w:pStyle w:val="NumberedParasinaPIF"/>
        <w:spacing w:before="80" w:after="60"/>
        <w:rPr>
          <w:sz w:val="21"/>
          <w:szCs w:val="21"/>
        </w:rPr>
      </w:pPr>
      <w:r w:rsidRPr="009533A2">
        <w:rPr>
          <w:sz w:val="21"/>
          <w:szCs w:val="21"/>
        </w:rPr>
        <w:t xml:space="preserve">The project is in line with the strategic objectives of the </w:t>
      </w:r>
      <w:r w:rsidRPr="009533A2">
        <w:rPr>
          <w:i/>
          <w:sz w:val="21"/>
          <w:szCs w:val="21"/>
        </w:rPr>
        <w:t>National Forest Policy and Strategy of the Republic of Armenia, 2004</w:t>
      </w:r>
      <w:r w:rsidRPr="009533A2">
        <w:rPr>
          <w:sz w:val="21"/>
          <w:szCs w:val="21"/>
        </w:rPr>
        <w:t xml:space="preserve"> through the capacity development of Hayantar, support to the restoration of forest ecosystems, the development of forest management plans, and the improvement of the legislative basis contributing to sustainable forest management. </w:t>
      </w:r>
    </w:p>
    <w:p w:rsidR="00E83D4D" w:rsidRPr="009533A2" w:rsidRDefault="00E83D4D" w:rsidP="00E340CD">
      <w:pPr>
        <w:pStyle w:val="NumberedParasinaPIF"/>
        <w:spacing w:before="80"/>
        <w:rPr>
          <w:sz w:val="21"/>
          <w:szCs w:val="21"/>
        </w:rPr>
      </w:pPr>
      <w:r w:rsidRPr="009533A2">
        <w:rPr>
          <w:sz w:val="21"/>
          <w:szCs w:val="21"/>
        </w:rPr>
        <w:t xml:space="preserve">The project will advance the objectives of the </w:t>
      </w:r>
      <w:r w:rsidRPr="009533A2">
        <w:rPr>
          <w:i/>
          <w:sz w:val="21"/>
          <w:szCs w:val="21"/>
        </w:rPr>
        <w:t>2002 National Action Programme to Combat Desertification in Armenia</w:t>
      </w:r>
      <w:r w:rsidRPr="009533A2">
        <w:rPr>
          <w:sz w:val="21"/>
          <w:szCs w:val="21"/>
        </w:rPr>
        <w:t xml:space="preserve">. The NAP highlights the need for effective coordination among the environmental institutions and the specification and enhancement of responsibilities of territorial and self-governance authorities in environmental management. It further calls for improved land use planning and improvement of economic mechanisms for natural resource management. The project will also support the implementation of the </w:t>
      </w:r>
      <w:r w:rsidRPr="009533A2">
        <w:rPr>
          <w:i/>
          <w:sz w:val="21"/>
          <w:szCs w:val="21"/>
        </w:rPr>
        <w:t>10-year UNCCD Strategic Plan</w:t>
      </w:r>
      <w:r w:rsidRPr="009533A2">
        <w:rPr>
          <w:sz w:val="21"/>
          <w:szCs w:val="21"/>
        </w:rPr>
        <w:t xml:space="preserve"> especially Strategic Objective 2: To improve the condition of affected ecosystems, particularly Expected impact 2.1: Land productivity and other ecosystem goods and services in affected areas are enhanced in a sustainable manner contributing to imporved livelihoods; and Strategic Objective 3: To generate global benefits through effective implementation of the UNCCD, specifically Expected impact 3.1: Sustainable land management and combating desertification/land degradation to the conservation and sustainable use of biodiversity and the mitigation of climate change.</w:t>
      </w:r>
    </w:p>
    <w:p w:rsidR="00E83D4D" w:rsidRPr="009533A2" w:rsidRDefault="00E83D4D" w:rsidP="00983E04">
      <w:pPr>
        <w:pStyle w:val="NumberedParasinaPIF"/>
        <w:spacing w:before="80" w:after="60"/>
        <w:rPr>
          <w:noProof w:val="0"/>
          <w:sz w:val="21"/>
          <w:szCs w:val="21"/>
        </w:rPr>
      </w:pPr>
      <w:r w:rsidRPr="009533A2">
        <w:rPr>
          <w:sz w:val="21"/>
          <w:szCs w:val="21"/>
        </w:rPr>
        <w:t xml:space="preserve">The project responds to a number of needs identified in Armenia’s </w:t>
      </w:r>
      <w:r w:rsidRPr="009533A2">
        <w:rPr>
          <w:i/>
          <w:sz w:val="21"/>
          <w:szCs w:val="21"/>
        </w:rPr>
        <w:t>Second National Communication under the United Nations Framework on Climate Change</w:t>
      </w:r>
      <w:r w:rsidRPr="009533A2">
        <w:rPr>
          <w:sz w:val="21"/>
          <w:szCs w:val="21"/>
        </w:rPr>
        <w:t xml:space="preserve"> (2010) namely (i) Establish natural ecosystems’ monitoring system and conduct studies on climate change impacts thereon; (ii) Based on the international experience in application of modern technologies, develop a system for consistent monitoring of the “LULUCF” sector, and assessment of GHG emissions from the sector; and (iv) Include carbon accumulation assessment in forest management plans.</w:t>
      </w:r>
    </w:p>
    <w:p w:rsidR="00E83D4D" w:rsidRPr="009533A2" w:rsidRDefault="00E83D4D" w:rsidP="00E340CD">
      <w:pPr>
        <w:pStyle w:val="NumberedParasinaPIF"/>
        <w:spacing w:before="80"/>
        <w:rPr>
          <w:noProof w:val="0"/>
          <w:sz w:val="21"/>
          <w:szCs w:val="21"/>
        </w:rPr>
      </w:pPr>
      <w:r w:rsidRPr="009533A2">
        <w:rPr>
          <w:sz w:val="21"/>
          <w:szCs w:val="21"/>
        </w:rPr>
        <w:t xml:space="preserve">The project will contribute to the </w:t>
      </w:r>
      <w:r w:rsidRPr="009533A2">
        <w:rPr>
          <w:i/>
          <w:sz w:val="21"/>
          <w:szCs w:val="21"/>
        </w:rPr>
        <w:t>Armenia’s Biodiversity Strategy and Action Plan</w:t>
      </w:r>
      <w:r w:rsidRPr="009533A2">
        <w:rPr>
          <w:sz w:val="21"/>
          <w:szCs w:val="21"/>
        </w:rPr>
        <w:t xml:space="preserve"> (BSAP) through support to the following objectives: (i) To develop mechanisms which mitigate economic activities that negatively affect biodiversity, while ensuring that a more realistic market value is placed on biological resources; (ii) To increase internal and external investments in order to conserve and regenerate landscapes and biodiversity; and (iii) To conserve, regenerate and sustainably use forest resources, with a resulting increase in healthy forested areas.  </w:t>
      </w:r>
      <w:r w:rsidRPr="009533A2">
        <w:rPr>
          <w:sz w:val="21"/>
          <w:szCs w:val="21"/>
          <w:lang w:val="en-GB"/>
        </w:rPr>
        <w:t xml:space="preserve">The project will also directly support the achievement of Aichi Target’s Strategic Goal A: address the underlying causes of biodiversity loss by mainstreaming biodiversity across government and society; particularly Target 2: By 2020, at the latest, biodiversity values have been integrated into national and local development and poverty reduction strategies and planning processes and are being incorporated into national accounting, as appropriate, and reporting systems; </w:t>
      </w:r>
      <w:r w:rsidRPr="009533A2">
        <w:rPr>
          <w:sz w:val="21"/>
          <w:szCs w:val="21"/>
        </w:rPr>
        <w:t>Strategic Goal B: Reduce the direct pressures on biodiversity and promote sustainable use; particularly Target 5: By 2020, the rate of loss of all natural habitats, including forests, is at least halved and where feasible brought close to zero, and degradation and fragmentation is significantly reduced; and Strategic Goal D: Enhance the benefits to all from biodiversity and ecosystem services – particularly Target 15: By 2020, ecosystem resilience and the contribution of biodiversity to carbon stocks has been enhanced, through conservation and restoration, including prevention of degradation of natural ecosystems, thereby contributing to climate change mitigation and adaptation and to combating desertification.</w:t>
      </w:r>
    </w:p>
    <w:p w:rsidR="00E83D4D" w:rsidRPr="009533A2" w:rsidRDefault="00E83D4D" w:rsidP="00502D52">
      <w:pPr>
        <w:spacing w:before="120" w:after="80"/>
        <w:outlineLvl w:val="0"/>
        <w:rPr>
          <w:rFonts w:ascii="Times New Roman" w:hAnsi="Times New Roman" w:cs="Times New Roman"/>
          <w:color w:val="auto"/>
          <w:sz w:val="21"/>
          <w:szCs w:val="21"/>
        </w:rPr>
      </w:pPr>
      <w:r w:rsidRPr="009533A2">
        <w:rPr>
          <w:rFonts w:ascii="Times New Roman" w:hAnsi="Times New Roman" w:cs="Times New Roman"/>
          <w:color w:val="auto"/>
          <w:sz w:val="21"/>
          <w:szCs w:val="21"/>
        </w:rPr>
        <w:t>B.2. GEF focal area and/or fund(s) strategies, eligibility criteria and priorities:</w:t>
      </w:r>
    </w:p>
    <w:p w:rsidR="00E83D4D" w:rsidRPr="009533A2" w:rsidRDefault="00E83D4D" w:rsidP="00341B39">
      <w:pPr>
        <w:spacing w:after="0" w:line="240" w:lineRule="auto"/>
        <w:jc w:val="both"/>
        <w:rPr>
          <w:color w:val="000000"/>
        </w:rPr>
      </w:pPr>
      <w:r w:rsidRPr="009533A2">
        <w:rPr>
          <w:rFonts w:ascii="Times New Roman" w:hAnsi="Times New Roman" w:cs="Times New Roman"/>
          <w:color w:val="auto"/>
          <w:sz w:val="21"/>
          <w:szCs w:val="21"/>
        </w:rPr>
        <w:t xml:space="preserve">Most importantly, the project is aligned to the Land Degradation (Desertification and Deforestation) Strategy – LD objective 2 </w:t>
      </w:r>
      <w:r w:rsidRPr="009533A2">
        <w:rPr>
          <w:rFonts w:ascii="Times New Roman" w:hAnsi="Times New Roman" w:cs="Times New Roman"/>
          <w:i/>
          <w:color w:val="auto"/>
          <w:sz w:val="21"/>
          <w:szCs w:val="21"/>
        </w:rPr>
        <w:t>“Generate Sustainable Flows of Forest Ecosystem Services in Arid, Semi-Arid and Sub-humid Zones, including sustaining Livelihoods of Forest-dependent People”</w:t>
      </w:r>
      <w:r w:rsidRPr="009533A2">
        <w:rPr>
          <w:rFonts w:ascii="Times New Roman" w:hAnsi="Times New Roman" w:cs="Times New Roman"/>
          <w:color w:val="auto"/>
          <w:sz w:val="21"/>
          <w:szCs w:val="21"/>
        </w:rPr>
        <w:t xml:space="preserve"> and through capacity development – forest policy and related legal and regulatory frameworks reformulation and improved decision-making, sustainable management of forests, reforestation and use of local species, and LD Objective 3: </w:t>
      </w:r>
      <w:r w:rsidRPr="009533A2">
        <w:rPr>
          <w:rFonts w:ascii="Times New Roman" w:hAnsi="Times New Roman" w:cs="Times New Roman"/>
          <w:i/>
          <w:color w:val="auto"/>
          <w:sz w:val="21"/>
          <w:szCs w:val="21"/>
        </w:rPr>
        <w:t>“Reduce Pressures on Natural Resources from Competing Land Uses in the wider Landscape”</w:t>
      </w:r>
      <w:r w:rsidRPr="009533A2">
        <w:rPr>
          <w:rFonts w:ascii="Times New Roman" w:hAnsi="Times New Roman" w:cs="Times New Roman"/>
          <w:color w:val="auto"/>
          <w:sz w:val="21"/>
          <w:szCs w:val="21"/>
        </w:rPr>
        <w:t xml:space="preserve"> – through capacity development to improve decision-making in management of production landscapes to ensure maintenance of ecosystem services important for the global environment and for people’s livelihoods, avoiding deforestation and forest degradation, building technical and institutional capacities to monitor and reduce GHG emissions from agricultural activities and deforestation(incl. estimating and monitoring associated emissions and changes in carbon stocks). The project is aligned to the Sustainable Forest Management/REDD-plus Objective 1: </w:t>
      </w:r>
      <w:r w:rsidRPr="009533A2">
        <w:rPr>
          <w:rFonts w:ascii="Times New Roman" w:hAnsi="Times New Roman" w:cs="Times New Roman"/>
          <w:i/>
          <w:color w:val="auto"/>
          <w:sz w:val="21"/>
          <w:szCs w:val="21"/>
        </w:rPr>
        <w:t>“Reduce Pressures on Forest Resources and generate Sustainable flows of Forest Ecosystem Services”</w:t>
      </w:r>
      <w:r w:rsidRPr="009533A2">
        <w:rPr>
          <w:rFonts w:ascii="Times New Roman" w:hAnsi="Times New Roman" w:cs="Times New Roman"/>
          <w:color w:val="auto"/>
          <w:sz w:val="21"/>
          <w:szCs w:val="21"/>
        </w:rPr>
        <w:t xml:space="preserve"> through the enhancement of the enabling environment within the forest sector and across sectors and applying good management practices in existing forests. The project is also aligned to the Biodiversity Strategy for GEF V. In particular, it is aligned to Objective Two: </w:t>
      </w:r>
      <w:r w:rsidRPr="009533A2">
        <w:rPr>
          <w:rFonts w:ascii="Times New Roman" w:hAnsi="Times New Roman" w:cs="Times New Roman"/>
          <w:i/>
          <w:color w:val="auto"/>
          <w:sz w:val="21"/>
          <w:szCs w:val="21"/>
        </w:rPr>
        <w:t xml:space="preserve">“Mainstream Biodiversity Conservation and Sustainable Use into Production </w:t>
      </w:r>
      <w:r w:rsidRPr="009533A2">
        <w:rPr>
          <w:rFonts w:ascii="Times New Roman" w:hAnsi="Times New Roman" w:cs="Times New Roman"/>
          <w:i/>
          <w:color w:val="auto"/>
          <w:sz w:val="21"/>
          <w:szCs w:val="21"/>
        </w:rPr>
        <w:lastRenderedPageBreak/>
        <w:t>Landscapes/Seascapes and Sectors”</w:t>
      </w:r>
      <w:r w:rsidRPr="009533A2">
        <w:rPr>
          <w:rFonts w:ascii="Times New Roman" w:hAnsi="Times New Roman" w:cs="Times New Roman"/>
          <w:color w:val="auto"/>
          <w:sz w:val="21"/>
          <w:szCs w:val="21"/>
        </w:rPr>
        <w:t xml:space="preserve"> through the development of spatial land-use planning that incorporates biodiversity and ecosystem valuation. Further, the project is closely aligned to the Climate Change Mitigation Strategy Objective 5: </w:t>
      </w:r>
      <w:r w:rsidRPr="009533A2">
        <w:rPr>
          <w:rFonts w:ascii="Times New Roman" w:hAnsi="Times New Roman" w:cs="Times New Roman"/>
          <w:i/>
          <w:color w:val="auto"/>
          <w:sz w:val="21"/>
          <w:szCs w:val="21"/>
        </w:rPr>
        <w:t>“Promote Conservation and Enhancement of Carbon Stocks through Sustainable Management of Land Use, and Land-use Change, and Forestry”</w:t>
      </w:r>
      <w:r w:rsidRPr="009533A2">
        <w:rPr>
          <w:rFonts w:ascii="Times New Roman" w:hAnsi="Times New Roman" w:cs="Times New Roman"/>
          <w:color w:val="auto"/>
          <w:sz w:val="21"/>
          <w:szCs w:val="21"/>
        </w:rPr>
        <w:t xml:space="preserve"> through the establishment of carbon stock monitoring systems. From the </w:t>
      </w:r>
      <w:r w:rsidRPr="009533A2">
        <w:rPr>
          <w:rFonts w:ascii="Times New Roman" w:hAnsi="Times New Roman" w:cs="Times New Roman"/>
          <w:color w:val="auto"/>
          <w:sz w:val="21"/>
          <w:szCs w:val="21"/>
          <w:u w:val="single"/>
        </w:rPr>
        <w:t>climate change mitigation cost-effectiveness perspective</w:t>
      </w:r>
      <w:r w:rsidRPr="009533A2">
        <w:rPr>
          <w:rFonts w:ascii="Times New Roman" w:hAnsi="Times New Roman" w:cs="Times New Roman"/>
          <w:color w:val="auto"/>
          <w:sz w:val="21"/>
          <w:szCs w:val="21"/>
        </w:rPr>
        <w:t>, the total investment from the Climate Change Mitigation focal area of US$ 1,161,705 (GEF plus co-financing) will conservatively generate total carbon benefits (emissions avoided plus carbon sequestered) amounting to 848,630 tCO2-eq over a 10-year time horizon. The unit cost of mitigation is therefore US$1.34/tCO2, which is far below the cost of most of the presently known climate change mitigation approaches.</w:t>
      </w:r>
    </w:p>
    <w:p w:rsidR="00E83D4D" w:rsidRPr="009533A2" w:rsidRDefault="00E83D4D" w:rsidP="00502D52">
      <w:pPr>
        <w:spacing w:before="120" w:after="80"/>
        <w:rPr>
          <w:rFonts w:ascii="Times New Roman" w:hAnsi="Times New Roman" w:cs="Times New Roman"/>
          <w:color w:val="auto"/>
          <w:sz w:val="21"/>
          <w:szCs w:val="21"/>
        </w:rPr>
      </w:pPr>
      <w:r w:rsidRPr="009533A2">
        <w:rPr>
          <w:rFonts w:ascii="Times New Roman" w:hAnsi="Times New Roman" w:cs="Times New Roman"/>
          <w:color w:val="auto"/>
          <w:sz w:val="21"/>
          <w:szCs w:val="21"/>
        </w:rPr>
        <w:t xml:space="preserve">B.3 The GEF Agency’s comparative advantage for implementing this project: </w:t>
      </w:r>
    </w:p>
    <w:p w:rsidR="00E83D4D" w:rsidRPr="009533A2" w:rsidRDefault="00E83D4D" w:rsidP="00E340CD">
      <w:pPr>
        <w:pStyle w:val="NumberedParasinaPIF"/>
        <w:spacing w:before="80"/>
        <w:rPr>
          <w:sz w:val="21"/>
          <w:szCs w:val="21"/>
        </w:rPr>
      </w:pPr>
      <w:r w:rsidRPr="009533A2">
        <w:rPr>
          <w:sz w:val="21"/>
          <w:szCs w:val="21"/>
        </w:rPr>
        <w:t>The project is in line with the United Nations Development Assistance Framework (UNDAF) of Armenia, which aims to enable Armenia to better address the key environmental challenges including climate change and natural resource management. The project will contribute to this outcome as one of the key project within the UNDAF period devoted directly to mainstreaming environmental considerations in sector and local-level strategies and plans, and improved sustainable forest management. The project is also in line with UNDP Country Programme (2010 – 2015) National Priority 4: Promote effective management of natural resources in line with sustainable development principles.</w:t>
      </w:r>
    </w:p>
    <w:p w:rsidR="00E83D4D" w:rsidRPr="009533A2" w:rsidRDefault="00E83D4D" w:rsidP="00E340CD">
      <w:pPr>
        <w:pStyle w:val="NumberedParasinaPIF"/>
        <w:spacing w:before="80"/>
        <w:rPr>
          <w:sz w:val="21"/>
          <w:szCs w:val="21"/>
        </w:rPr>
      </w:pPr>
      <w:r w:rsidRPr="009533A2">
        <w:rPr>
          <w:sz w:val="21"/>
          <w:szCs w:val="21"/>
        </w:rPr>
        <w:t>In the natural resource management cluster, UNDP has been playing a key role among all UN agencies and international organizations contributing to transformational changes in sustainable land management. With respect to SFM, UNDP is central to implementation of the UN-REDD program. UNDP is working in 29 countries around the world on SFM and REDD+, focusing on forest governance frameworks, planning, and monitoring. In Europe and CIS, UNDP is supporting over 60 ecosystem projects worth USD 107 million. These include sustainable forest management in a number of ecoregions, including the large areas in South East Asia, LAC and Europe. UNDP is the implementing agency for forest carbon projects in Russia and Kazakhstan funded by the German International Climate Initiative (USD 11 million), which is testing innovative carbon mitigation techniques within protected areas. UNDP was the first agency to develop a Guidebook for countries on how to develop and implement Low Emission Development Strategies and NAMAs, including for the forestry sector.</w:t>
      </w:r>
    </w:p>
    <w:p w:rsidR="00E83D4D" w:rsidRPr="009533A2" w:rsidRDefault="00E83D4D" w:rsidP="00E340CD">
      <w:pPr>
        <w:pStyle w:val="NumberedParasinaPIF"/>
        <w:spacing w:before="80" w:after="120"/>
        <w:rPr>
          <w:sz w:val="21"/>
          <w:szCs w:val="21"/>
        </w:rPr>
      </w:pPr>
      <w:r w:rsidRPr="009533A2">
        <w:rPr>
          <w:sz w:val="21"/>
          <w:szCs w:val="21"/>
        </w:rPr>
        <w:t>UNDP has a proven ability to implement complex initiatives that require working in both the national and rural settings. The UNDP Country Office will assign three staff members to be responsible for the overall supervision of the project. The project will fall under the overall supervision of the Assistant Resident representative and Environmental Governance Portfolio Analyst, with the direct support of the Portfolio Programme Policy Advisor and Climate Change Programme Coordinator. Implementation support on financial, procurement and human resources will be provided by the office’s operations staff. Finally, the project will be backstopped by a Regional Technical Advisor based in UNDP’s Regional centre in Bratislava, Slovakia.</w:t>
      </w:r>
    </w:p>
    <w:p w:rsidR="00EF7986" w:rsidRPr="009533A2" w:rsidRDefault="00EF7986" w:rsidP="00E340CD">
      <w:pPr>
        <w:pStyle w:val="NumberedParasinaPIF"/>
        <w:spacing w:before="80" w:after="120"/>
        <w:rPr>
          <w:sz w:val="21"/>
          <w:szCs w:val="21"/>
        </w:rPr>
      </w:pPr>
    </w:p>
    <w:p w:rsidR="00EF7986" w:rsidRPr="009533A2" w:rsidRDefault="00EF7986" w:rsidP="00E340CD">
      <w:pPr>
        <w:pStyle w:val="NumberedParasinaPIF"/>
        <w:spacing w:before="80" w:after="120"/>
        <w:rPr>
          <w:sz w:val="21"/>
          <w:szCs w:val="21"/>
        </w:rPr>
      </w:pPr>
    </w:p>
    <w:p w:rsidR="00EF7986" w:rsidRPr="009533A2" w:rsidRDefault="00EF7986" w:rsidP="00E340CD">
      <w:pPr>
        <w:pStyle w:val="NumberedParasinaPIF"/>
        <w:spacing w:before="80" w:after="120"/>
        <w:rPr>
          <w:sz w:val="21"/>
          <w:szCs w:val="21"/>
        </w:rPr>
      </w:pPr>
    </w:p>
    <w:p w:rsidR="00E83D4D" w:rsidRPr="009533A2" w:rsidRDefault="00E83D4D" w:rsidP="0059171B">
      <w:pPr>
        <w:pStyle w:val="Footer"/>
        <w:rPr>
          <w:b/>
          <w:caps/>
          <w:sz w:val="21"/>
          <w:szCs w:val="21"/>
          <w:u w:val="single"/>
        </w:rPr>
      </w:pPr>
      <w:r w:rsidRPr="009533A2">
        <w:rPr>
          <w:b/>
          <w:caps/>
          <w:color w:val="00B0F0"/>
          <w:sz w:val="21"/>
          <w:szCs w:val="21"/>
          <w:u w:val="single"/>
        </w:rPr>
        <w:t>part iii:  approval/endorsement by gef operational focal point(s) and GEF agency(ies</w:t>
      </w:r>
      <w:r w:rsidRPr="009533A2">
        <w:rPr>
          <w:b/>
          <w:caps/>
          <w:sz w:val="21"/>
          <w:szCs w:val="21"/>
          <w:u w:val="single"/>
        </w:rPr>
        <w:t>)</w:t>
      </w:r>
    </w:p>
    <w:p w:rsidR="00E83D4D" w:rsidRPr="009533A2" w:rsidRDefault="00E83D4D" w:rsidP="006955DB">
      <w:pPr>
        <w:spacing w:before="240" w:after="240" w:line="240" w:lineRule="auto"/>
        <w:ind w:firstLine="360"/>
        <w:jc w:val="both"/>
        <w:rPr>
          <w:rFonts w:ascii="Times New Roman" w:hAnsi="Times New Roman" w:cs="Times New Roman"/>
          <w:b/>
          <w:color w:val="auto"/>
          <w:sz w:val="21"/>
          <w:szCs w:val="21"/>
        </w:rPr>
      </w:pPr>
      <w:r w:rsidRPr="009533A2">
        <w:rPr>
          <w:rFonts w:ascii="Times New Roman" w:hAnsi="Times New Roman" w:cs="Times New Roman"/>
          <w:b/>
          <w:bCs/>
          <w:smallCaps/>
          <w:color w:val="auto"/>
          <w:sz w:val="21"/>
          <w:szCs w:val="21"/>
        </w:rPr>
        <w:t>A.   Record of Endorsement of GEF Operational Focal Point (S) on Behalf of the Government(S):</w:t>
      </w:r>
      <w:r w:rsidRPr="009533A2">
        <w:rPr>
          <w:rFonts w:ascii="Times New Roman" w:hAnsi="Times New Roman" w:cs="Times New Roman"/>
          <w:b/>
          <w:sz w:val="21"/>
          <w:szCs w:val="21"/>
        </w:rPr>
        <w:t xml:space="preserve"> </w:t>
      </w:r>
      <w:r w:rsidRPr="009533A2">
        <w:rPr>
          <w:rFonts w:ascii="Times New Roman" w:hAnsi="Times New Roman" w:cs="Times New Roman"/>
          <w:b/>
          <w:color w:val="auto"/>
          <w:sz w:val="21"/>
          <w:szCs w:val="21"/>
        </w:rPr>
        <w:t>(Please attach the</w:t>
      </w:r>
      <w:r w:rsidRPr="009533A2">
        <w:rPr>
          <w:rFonts w:ascii="Times New Roman" w:hAnsi="Times New Roman" w:cs="Times New Roman"/>
          <w:b/>
          <w:color w:val="0000FF"/>
          <w:sz w:val="21"/>
          <w:szCs w:val="21"/>
        </w:rPr>
        <w:t xml:space="preserve"> </w:t>
      </w:r>
      <w:hyperlink r:id="rId13" w:history="1">
        <w:r w:rsidRPr="009533A2">
          <w:rPr>
            <w:rStyle w:val="Hyperlink"/>
            <w:rFonts w:ascii="Times New Roman" w:hAnsi="Times New Roman"/>
            <w:b/>
            <w:sz w:val="21"/>
            <w:szCs w:val="21"/>
          </w:rPr>
          <w:t>Operational Focal Point endorsement letter(s)</w:t>
        </w:r>
      </w:hyperlink>
      <w:r w:rsidRPr="009533A2">
        <w:rPr>
          <w:rFonts w:ascii="Times New Roman" w:hAnsi="Times New Roman" w:cs="Times New Roman"/>
          <w:b/>
          <w:sz w:val="21"/>
          <w:szCs w:val="21"/>
        </w:rPr>
        <w:t xml:space="preserve"> </w:t>
      </w:r>
      <w:r w:rsidRPr="009533A2">
        <w:rPr>
          <w:rFonts w:ascii="Times New Roman" w:hAnsi="Times New Roman" w:cs="Times New Roman"/>
          <w:b/>
          <w:color w:val="auto"/>
          <w:sz w:val="21"/>
          <w:szCs w:val="21"/>
        </w:rPr>
        <w:t xml:space="preserve">with this template. For SGP, use this </w:t>
      </w:r>
      <w:hyperlink r:id="rId14" w:history="1">
        <w:r w:rsidRPr="009533A2">
          <w:rPr>
            <w:rStyle w:val="Hyperlink"/>
            <w:rFonts w:ascii="Times New Roman" w:hAnsi="Times New Roman"/>
            <w:b/>
            <w:sz w:val="21"/>
            <w:szCs w:val="21"/>
          </w:rPr>
          <w:t>OFP endorsement letter</w:t>
        </w:r>
      </w:hyperlink>
      <w:r w:rsidRPr="009533A2">
        <w:rPr>
          <w:rFonts w:ascii="Times New Roman" w:hAnsi="Times New Roman" w:cs="Times New Roman"/>
          <w:b/>
          <w:color w:val="auto"/>
          <w:sz w:val="21"/>
          <w:szCs w:val="2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2"/>
        <w:gridCol w:w="2925"/>
        <w:gridCol w:w="2323"/>
        <w:gridCol w:w="3125"/>
      </w:tblGrid>
      <w:tr w:rsidR="00E83D4D" w:rsidRPr="009533A2" w:rsidTr="00F47B30">
        <w:tc>
          <w:tcPr>
            <w:tcW w:w="1287" w:type="pct"/>
          </w:tcPr>
          <w:p w:rsidR="00E83D4D" w:rsidRPr="009533A2" w:rsidRDefault="00E83D4D" w:rsidP="006955DB">
            <w:pPr>
              <w:spacing w:after="0" w:line="240" w:lineRule="auto"/>
              <w:rPr>
                <w:rFonts w:ascii="Times New Roman" w:hAnsi="Times New Roman" w:cs="Times New Roman"/>
                <w:b/>
                <w:bCs/>
                <w:smallCaps/>
                <w:color w:val="auto"/>
                <w:sz w:val="20"/>
                <w:szCs w:val="20"/>
              </w:rPr>
            </w:pPr>
            <w:r w:rsidRPr="009533A2">
              <w:rPr>
                <w:rFonts w:ascii="Times New Roman" w:hAnsi="Times New Roman" w:cs="Times New Roman"/>
                <w:b/>
                <w:bCs/>
                <w:smallCaps/>
                <w:color w:val="auto"/>
                <w:sz w:val="20"/>
                <w:szCs w:val="20"/>
              </w:rPr>
              <w:t>Name</w:t>
            </w:r>
            <w:r w:rsidRPr="009533A2">
              <w:rPr>
                <w:rFonts w:ascii="Times New Roman" w:hAnsi="Times New Roman" w:cs="Times New Roman"/>
                <w:b/>
                <w:color w:val="auto"/>
                <w:sz w:val="20"/>
                <w:szCs w:val="20"/>
              </w:rPr>
              <w:t xml:space="preserve"> </w:t>
            </w:r>
          </w:p>
        </w:tc>
        <w:tc>
          <w:tcPr>
            <w:tcW w:w="1297" w:type="pct"/>
          </w:tcPr>
          <w:p w:rsidR="00E83D4D" w:rsidRPr="009533A2" w:rsidRDefault="00E83D4D" w:rsidP="006955DB">
            <w:pPr>
              <w:spacing w:after="0" w:line="240" w:lineRule="auto"/>
              <w:rPr>
                <w:rFonts w:ascii="Times New Roman" w:hAnsi="Times New Roman" w:cs="Times New Roman"/>
                <w:b/>
                <w:bCs/>
                <w:smallCaps/>
                <w:color w:val="auto"/>
                <w:sz w:val="20"/>
                <w:szCs w:val="20"/>
              </w:rPr>
            </w:pPr>
            <w:r w:rsidRPr="009533A2">
              <w:rPr>
                <w:rFonts w:ascii="Times New Roman" w:hAnsi="Times New Roman" w:cs="Times New Roman"/>
                <w:b/>
                <w:bCs/>
                <w:smallCaps/>
                <w:color w:val="auto"/>
                <w:sz w:val="20"/>
                <w:szCs w:val="20"/>
              </w:rPr>
              <w:t>Position</w:t>
            </w:r>
          </w:p>
        </w:tc>
        <w:tc>
          <w:tcPr>
            <w:tcW w:w="1030" w:type="pct"/>
          </w:tcPr>
          <w:p w:rsidR="00E83D4D" w:rsidRPr="009533A2" w:rsidRDefault="00E83D4D" w:rsidP="006955DB">
            <w:pPr>
              <w:spacing w:after="0" w:line="240" w:lineRule="auto"/>
              <w:rPr>
                <w:rFonts w:ascii="Times New Roman" w:hAnsi="Times New Roman" w:cs="Times New Roman"/>
                <w:b/>
                <w:bCs/>
                <w:smallCaps/>
                <w:color w:val="auto"/>
                <w:sz w:val="20"/>
                <w:szCs w:val="20"/>
              </w:rPr>
            </w:pPr>
            <w:r w:rsidRPr="009533A2">
              <w:rPr>
                <w:rFonts w:ascii="Times New Roman" w:hAnsi="Times New Roman" w:cs="Times New Roman"/>
                <w:b/>
                <w:bCs/>
                <w:smallCaps/>
                <w:color w:val="auto"/>
                <w:sz w:val="20"/>
                <w:szCs w:val="20"/>
              </w:rPr>
              <w:t>Ministry</w:t>
            </w:r>
          </w:p>
        </w:tc>
        <w:tc>
          <w:tcPr>
            <w:tcW w:w="1386" w:type="pct"/>
          </w:tcPr>
          <w:p w:rsidR="00E83D4D" w:rsidRPr="009533A2" w:rsidRDefault="00E83D4D" w:rsidP="006955DB">
            <w:pPr>
              <w:spacing w:after="0" w:line="240" w:lineRule="auto"/>
              <w:rPr>
                <w:rFonts w:ascii="Times New Roman" w:hAnsi="Times New Roman" w:cs="Times New Roman"/>
                <w:b/>
                <w:color w:val="auto"/>
                <w:sz w:val="20"/>
                <w:szCs w:val="20"/>
              </w:rPr>
            </w:pPr>
            <w:r w:rsidRPr="009533A2">
              <w:rPr>
                <w:rFonts w:ascii="Times New Roman" w:hAnsi="Times New Roman" w:cs="Times New Roman"/>
                <w:b/>
                <w:bCs/>
                <w:smallCaps/>
                <w:color w:val="auto"/>
                <w:sz w:val="20"/>
                <w:szCs w:val="20"/>
              </w:rPr>
              <w:t>Date</w:t>
            </w:r>
            <w:r w:rsidRPr="009533A2">
              <w:rPr>
                <w:rFonts w:ascii="Times New Roman" w:hAnsi="Times New Roman" w:cs="Times New Roman"/>
                <w:b/>
                <w:color w:val="auto"/>
                <w:sz w:val="20"/>
                <w:szCs w:val="20"/>
              </w:rPr>
              <w:t xml:space="preserve"> </w:t>
            </w:r>
            <w:r w:rsidRPr="009533A2">
              <w:rPr>
                <w:rFonts w:ascii="Times New Roman" w:hAnsi="Times New Roman" w:cs="Times New Roman"/>
                <w:i/>
                <w:color w:val="auto"/>
                <w:sz w:val="20"/>
                <w:szCs w:val="20"/>
              </w:rPr>
              <w:t>(MM/dd/yyyy)</w:t>
            </w:r>
          </w:p>
        </w:tc>
      </w:tr>
      <w:tr w:rsidR="00E83D4D" w:rsidRPr="009533A2" w:rsidTr="00F47B30">
        <w:tc>
          <w:tcPr>
            <w:tcW w:w="1287" w:type="pct"/>
          </w:tcPr>
          <w:p w:rsidR="00E83D4D" w:rsidRPr="009533A2" w:rsidRDefault="00B80C00" w:rsidP="006955DB">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Mr. Aram Harutyunian</w:t>
            </w:r>
          </w:p>
        </w:tc>
        <w:tc>
          <w:tcPr>
            <w:tcW w:w="1297" w:type="pct"/>
          </w:tcPr>
          <w:p w:rsidR="00E83D4D" w:rsidRPr="009533A2" w:rsidRDefault="00B80C00" w:rsidP="006955DB">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GEF Operational Focal Point</w:t>
            </w:r>
          </w:p>
        </w:tc>
        <w:tc>
          <w:tcPr>
            <w:tcW w:w="1030" w:type="pct"/>
          </w:tcPr>
          <w:p w:rsidR="00E83D4D" w:rsidRPr="009533A2" w:rsidRDefault="00B80C00" w:rsidP="006955DB">
            <w:pPr>
              <w:spacing w:after="0" w:line="240" w:lineRule="auto"/>
              <w:rPr>
                <w:rFonts w:ascii="Times New Roman" w:hAnsi="Times New Roman" w:cs="Times New Roman"/>
                <w:b/>
                <w:bCs/>
                <w:smallCaps/>
                <w:color w:val="auto"/>
                <w:sz w:val="20"/>
                <w:szCs w:val="20"/>
              </w:rPr>
            </w:pPr>
            <w:r w:rsidRPr="009533A2">
              <w:rPr>
                <w:rFonts w:ascii="Times New Roman" w:hAnsi="Times New Roman" w:cs="Times New Roman"/>
                <w:color w:val="auto"/>
                <w:sz w:val="20"/>
                <w:szCs w:val="20"/>
              </w:rPr>
              <w:t>Ministry of Nature Protection</w:t>
            </w:r>
          </w:p>
        </w:tc>
        <w:tc>
          <w:tcPr>
            <w:tcW w:w="1386" w:type="pct"/>
          </w:tcPr>
          <w:p w:rsidR="00E83D4D" w:rsidRPr="009533A2" w:rsidRDefault="00B80C00" w:rsidP="006955DB">
            <w:pPr>
              <w:spacing w:after="0" w:line="240" w:lineRule="auto"/>
              <w:rPr>
                <w:rFonts w:ascii="Times New Roman" w:hAnsi="Times New Roman" w:cs="Times New Roman"/>
                <w:b/>
                <w:bCs/>
                <w:smallCaps/>
                <w:color w:val="auto"/>
                <w:sz w:val="20"/>
                <w:szCs w:val="20"/>
              </w:rPr>
            </w:pPr>
            <w:r w:rsidRPr="009533A2">
              <w:rPr>
                <w:rFonts w:ascii="Times New Roman" w:hAnsi="Times New Roman" w:cs="Times New Roman"/>
                <w:color w:val="auto"/>
                <w:sz w:val="20"/>
                <w:szCs w:val="20"/>
              </w:rPr>
              <w:t>March 21, 2013</w:t>
            </w:r>
          </w:p>
        </w:tc>
      </w:tr>
    </w:tbl>
    <w:p w:rsidR="00E83D4D" w:rsidRPr="009533A2" w:rsidRDefault="00E83D4D" w:rsidP="006955DB">
      <w:pPr>
        <w:pStyle w:val="Footer"/>
        <w:tabs>
          <w:tab w:val="clear" w:pos="4320"/>
          <w:tab w:val="clear" w:pos="8640"/>
        </w:tabs>
        <w:spacing w:before="240" w:after="80"/>
        <w:rPr>
          <w:b/>
          <w:smallCaps/>
          <w:sz w:val="21"/>
          <w:szCs w:val="21"/>
        </w:rPr>
      </w:pPr>
      <w:r w:rsidRPr="009533A2">
        <w:rPr>
          <w:b/>
          <w:smallCaps/>
          <w:sz w:val="21"/>
          <w:szCs w:val="21"/>
        </w:rPr>
        <w:t>B.  GEF Agency(ies) Certification</w:t>
      </w:r>
      <w:r w:rsidRPr="009533A2">
        <w:rPr>
          <w:b/>
          <w:smallCaps/>
          <w:sz w:val="21"/>
          <w:szCs w:val="21"/>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2236"/>
        <w:gridCol w:w="1291"/>
        <w:gridCol w:w="1472"/>
        <w:gridCol w:w="2673"/>
        <w:gridCol w:w="1291"/>
        <w:gridCol w:w="2326"/>
      </w:tblGrid>
      <w:tr w:rsidR="00E83D4D" w:rsidRPr="009533A2" w:rsidTr="004D7DD0">
        <w:trPr>
          <w:cantSplit/>
          <w:trHeight w:val="377"/>
        </w:trPr>
        <w:tc>
          <w:tcPr>
            <w:tcW w:w="5000" w:type="pct"/>
            <w:gridSpan w:val="6"/>
          </w:tcPr>
          <w:p w:rsidR="00E83D4D" w:rsidRPr="009533A2" w:rsidRDefault="00E83D4D" w:rsidP="00F47B30">
            <w:pPr>
              <w:spacing w:after="120"/>
              <w:rPr>
                <w:rFonts w:ascii="Times New Roman" w:hAnsi="Times New Roman" w:cs="Times New Roman"/>
                <w:b/>
                <w:color w:val="auto"/>
                <w:sz w:val="20"/>
                <w:szCs w:val="20"/>
              </w:rPr>
            </w:pPr>
            <w:r w:rsidRPr="009533A2">
              <w:rPr>
                <w:rFonts w:ascii="Times New Roman" w:hAnsi="Times New Roman" w:cs="Times New Roman"/>
                <w:b/>
                <w:color w:val="auto"/>
                <w:sz w:val="20"/>
                <w:szCs w:val="20"/>
              </w:rPr>
              <w:t>This request has been prepared in accordance with GEF/LDCF/SCCF/NPIF policies and procedures and meets the GEF/LDCF/SCCF/NPIF criteria for project identification and preparation.</w:t>
            </w:r>
          </w:p>
        </w:tc>
      </w:tr>
      <w:tr w:rsidR="00E83D4D" w:rsidRPr="009533A2" w:rsidTr="00DB5551">
        <w:tblPrEx>
          <w:tblLook w:val="01E0" w:firstRow="1" w:lastRow="1" w:firstColumn="1" w:lastColumn="1" w:noHBand="0" w:noVBand="0"/>
        </w:tblPrEx>
        <w:tc>
          <w:tcPr>
            <w:tcW w:w="990" w:type="pct"/>
            <w:vAlign w:val="center"/>
          </w:tcPr>
          <w:p w:rsidR="00E83D4D" w:rsidRPr="009533A2" w:rsidRDefault="00E83D4D" w:rsidP="006955DB">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Agency Coordinator, Agency name</w:t>
            </w:r>
          </w:p>
        </w:tc>
        <w:tc>
          <w:tcPr>
            <w:tcW w:w="572" w:type="pct"/>
            <w:vAlign w:val="center"/>
          </w:tcPr>
          <w:p w:rsidR="00E83D4D" w:rsidRPr="009533A2" w:rsidRDefault="00E83D4D" w:rsidP="009C3B47">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Signature</w:t>
            </w:r>
          </w:p>
        </w:tc>
        <w:tc>
          <w:tcPr>
            <w:tcW w:w="652" w:type="pct"/>
            <w:tcMar>
              <w:left w:w="58" w:type="dxa"/>
              <w:right w:w="58" w:type="dxa"/>
            </w:tcMar>
            <w:vAlign w:val="center"/>
          </w:tcPr>
          <w:p w:rsidR="00E83D4D" w:rsidRPr="009533A2" w:rsidRDefault="00E83D4D" w:rsidP="009C3B47">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bCs/>
                <w:smallCaps/>
                <w:color w:val="auto"/>
                <w:sz w:val="20"/>
                <w:szCs w:val="20"/>
              </w:rPr>
              <w:t>Date</w:t>
            </w:r>
            <w:r w:rsidRPr="009533A2">
              <w:rPr>
                <w:rFonts w:ascii="Times New Roman" w:hAnsi="Times New Roman" w:cs="Times New Roman"/>
                <w:b/>
                <w:color w:val="auto"/>
                <w:sz w:val="20"/>
                <w:szCs w:val="20"/>
              </w:rPr>
              <w:t xml:space="preserve"> </w:t>
            </w:r>
            <w:r w:rsidRPr="009533A2">
              <w:rPr>
                <w:rFonts w:ascii="Times New Roman" w:hAnsi="Times New Roman" w:cs="Times New Roman"/>
                <w:i/>
                <w:color w:val="auto"/>
                <w:sz w:val="20"/>
                <w:szCs w:val="20"/>
              </w:rPr>
              <w:t>(MM/dd/yyyy)</w:t>
            </w:r>
          </w:p>
        </w:tc>
        <w:tc>
          <w:tcPr>
            <w:tcW w:w="1184" w:type="pct"/>
            <w:vAlign w:val="center"/>
          </w:tcPr>
          <w:p w:rsidR="00E83D4D" w:rsidRPr="009533A2" w:rsidRDefault="00E83D4D" w:rsidP="009C3B47">
            <w:pPr>
              <w:spacing w:after="0" w:line="240" w:lineRule="auto"/>
              <w:jc w:val="center"/>
              <w:rPr>
                <w:rFonts w:ascii="Times New Roman" w:hAnsi="Times New Roman" w:cs="Times New Roman"/>
                <w:b/>
                <w:color w:val="auto"/>
                <w:sz w:val="20"/>
                <w:szCs w:val="20"/>
              </w:rPr>
            </w:pPr>
            <w:r w:rsidRPr="009533A2">
              <w:rPr>
                <w:rFonts w:ascii="Times New Roman" w:hAnsi="Times New Roman" w:cs="Times New Roman"/>
                <w:b/>
                <w:color w:val="auto"/>
                <w:sz w:val="20"/>
                <w:szCs w:val="20"/>
              </w:rPr>
              <w:t>Project Contact Person</w:t>
            </w:r>
          </w:p>
        </w:tc>
        <w:tc>
          <w:tcPr>
            <w:tcW w:w="572" w:type="pct"/>
            <w:vAlign w:val="center"/>
          </w:tcPr>
          <w:p w:rsidR="00E83D4D" w:rsidRPr="009533A2" w:rsidRDefault="00E83D4D" w:rsidP="009C3B47">
            <w:pPr>
              <w:spacing w:after="0" w:line="240" w:lineRule="auto"/>
              <w:rPr>
                <w:rFonts w:ascii="Times New Roman" w:hAnsi="Times New Roman" w:cs="Times New Roman"/>
                <w:b/>
                <w:color w:val="auto"/>
                <w:sz w:val="20"/>
                <w:szCs w:val="20"/>
              </w:rPr>
            </w:pPr>
            <w:r w:rsidRPr="009533A2">
              <w:rPr>
                <w:rFonts w:ascii="Times New Roman" w:hAnsi="Times New Roman" w:cs="Times New Roman"/>
                <w:b/>
                <w:color w:val="auto"/>
                <w:sz w:val="20"/>
                <w:szCs w:val="20"/>
              </w:rPr>
              <w:t>Telephone</w:t>
            </w:r>
          </w:p>
        </w:tc>
        <w:tc>
          <w:tcPr>
            <w:tcW w:w="1030" w:type="pct"/>
            <w:vAlign w:val="center"/>
          </w:tcPr>
          <w:p w:rsidR="00E83D4D" w:rsidRPr="009533A2" w:rsidRDefault="00E83D4D" w:rsidP="009C3B47">
            <w:pPr>
              <w:spacing w:after="0" w:line="240" w:lineRule="auto"/>
              <w:rPr>
                <w:rFonts w:ascii="Times New Roman" w:hAnsi="Times New Roman" w:cs="Times New Roman"/>
                <w:b/>
                <w:color w:val="auto"/>
                <w:sz w:val="20"/>
                <w:szCs w:val="20"/>
              </w:rPr>
            </w:pPr>
            <w:r w:rsidRPr="009533A2">
              <w:rPr>
                <w:rFonts w:ascii="Times New Roman" w:hAnsi="Times New Roman" w:cs="Times New Roman"/>
                <w:b/>
                <w:color w:val="auto"/>
                <w:sz w:val="20"/>
                <w:szCs w:val="20"/>
              </w:rPr>
              <w:t>Email Address</w:t>
            </w:r>
          </w:p>
        </w:tc>
      </w:tr>
      <w:tr w:rsidR="00DB5551" w:rsidRPr="004A7299" w:rsidTr="00DB5551">
        <w:tblPrEx>
          <w:tblLook w:val="01E0" w:firstRow="1" w:lastRow="1" w:firstColumn="1" w:lastColumn="1" w:noHBand="0" w:noVBand="0"/>
        </w:tblPrEx>
        <w:tc>
          <w:tcPr>
            <w:tcW w:w="990" w:type="pct"/>
            <w:tcMar>
              <w:left w:w="58" w:type="dxa"/>
              <w:right w:w="58" w:type="dxa"/>
            </w:tcMar>
          </w:tcPr>
          <w:p w:rsidR="00DB5551" w:rsidRPr="009533A2" w:rsidRDefault="00D81954" w:rsidP="00D81954">
            <w:pPr>
              <w:rPr>
                <w:sz w:val="20"/>
                <w:szCs w:val="20"/>
              </w:rPr>
            </w:pPr>
            <w:r w:rsidRPr="009533A2">
              <w:rPr>
                <w:rFonts w:ascii="Times New Roman" w:hAnsi="Times New Roman" w:cs="Times New Roman"/>
                <w:color w:val="auto"/>
                <w:sz w:val="20"/>
                <w:szCs w:val="20"/>
              </w:rPr>
              <w:t>Adriana Dinu, UNDP-</w:t>
            </w:r>
            <w:r w:rsidR="00DB5551" w:rsidRPr="009533A2">
              <w:rPr>
                <w:rFonts w:ascii="Times New Roman" w:hAnsi="Times New Roman" w:cs="Times New Roman"/>
                <w:color w:val="auto"/>
                <w:sz w:val="20"/>
                <w:szCs w:val="20"/>
              </w:rPr>
              <w:t xml:space="preserve">GEF Officer-in-Charge and Deputy Executive Coordinator </w:t>
            </w:r>
          </w:p>
        </w:tc>
        <w:tc>
          <w:tcPr>
            <w:tcW w:w="572" w:type="pct"/>
          </w:tcPr>
          <w:p w:rsidR="00DB5551" w:rsidRPr="009533A2" w:rsidRDefault="007043C5" w:rsidP="00E92ADA">
            <w:pPr>
              <w:jc w:val="center"/>
              <w:rPr>
                <w:sz w:val="20"/>
                <w:szCs w:val="20"/>
              </w:rPr>
            </w:pPr>
            <w:r w:rsidRPr="009533A2">
              <w:rPr>
                <w:noProof/>
                <w:sz w:val="16"/>
                <w:szCs w:val="16"/>
              </w:rPr>
              <w:drawing>
                <wp:anchor distT="0" distB="0" distL="114300" distR="114300" simplePos="0" relativeHeight="251660288" behindDoc="0" locked="0" layoutInCell="1" allowOverlap="1" wp14:anchorId="5654F808" wp14:editId="14BC21D3">
                  <wp:simplePos x="0" y="0"/>
                  <wp:positionH relativeFrom="column">
                    <wp:posOffset>-15875</wp:posOffset>
                  </wp:positionH>
                  <wp:positionV relativeFrom="paragraph">
                    <wp:posOffset>50800</wp:posOffset>
                  </wp:positionV>
                  <wp:extent cx="710565" cy="313690"/>
                  <wp:effectExtent l="0" t="0" r="0"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10565" cy="313690"/>
                          </a:xfrm>
                          <a:prstGeom prst="rect">
                            <a:avLst/>
                          </a:prstGeom>
                          <a:noFill/>
                        </pic:spPr>
                      </pic:pic>
                    </a:graphicData>
                  </a:graphic>
                  <wp14:sizeRelH relativeFrom="page">
                    <wp14:pctWidth>0</wp14:pctWidth>
                  </wp14:sizeRelH>
                  <wp14:sizeRelV relativeFrom="page">
                    <wp14:pctHeight>0</wp14:pctHeight>
                  </wp14:sizeRelV>
                </wp:anchor>
              </w:drawing>
            </w:r>
          </w:p>
        </w:tc>
        <w:tc>
          <w:tcPr>
            <w:tcW w:w="652" w:type="pct"/>
          </w:tcPr>
          <w:p w:rsidR="00DB5551" w:rsidRPr="009533A2" w:rsidRDefault="002F48F9" w:rsidP="00D81954">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April 11, 2013</w:t>
            </w:r>
          </w:p>
        </w:tc>
        <w:tc>
          <w:tcPr>
            <w:tcW w:w="1184" w:type="pct"/>
          </w:tcPr>
          <w:p w:rsidR="00DB5551" w:rsidRPr="009533A2" w:rsidRDefault="00DB5551" w:rsidP="00D81954">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 xml:space="preserve">Johan Robinson, Regional Technical Advisor for Biodiversity, </w:t>
            </w:r>
            <w:r w:rsidR="00D81954" w:rsidRPr="009533A2">
              <w:rPr>
                <w:rFonts w:ascii="Times New Roman" w:hAnsi="Times New Roman" w:cs="Times New Roman"/>
                <w:color w:val="auto"/>
                <w:sz w:val="20"/>
                <w:szCs w:val="20"/>
              </w:rPr>
              <w:t>EBD</w:t>
            </w:r>
          </w:p>
        </w:tc>
        <w:tc>
          <w:tcPr>
            <w:tcW w:w="572" w:type="pct"/>
          </w:tcPr>
          <w:p w:rsidR="00DB5551" w:rsidRPr="009533A2" w:rsidRDefault="00DB5551" w:rsidP="009C3B47">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+421 259337299</w:t>
            </w:r>
          </w:p>
        </w:tc>
        <w:tc>
          <w:tcPr>
            <w:tcW w:w="1030" w:type="pct"/>
          </w:tcPr>
          <w:p w:rsidR="00DB5551" w:rsidRPr="004A7299" w:rsidRDefault="00DB5551" w:rsidP="009C3B47">
            <w:pPr>
              <w:spacing w:after="0" w:line="240" w:lineRule="auto"/>
              <w:rPr>
                <w:rFonts w:ascii="Times New Roman" w:hAnsi="Times New Roman" w:cs="Times New Roman"/>
                <w:color w:val="auto"/>
                <w:sz w:val="20"/>
                <w:szCs w:val="20"/>
              </w:rPr>
            </w:pPr>
            <w:r w:rsidRPr="009533A2">
              <w:rPr>
                <w:rFonts w:ascii="Times New Roman" w:hAnsi="Times New Roman" w:cs="Times New Roman"/>
                <w:color w:val="auto"/>
                <w:sz w:val="20"/>
                <w:szCs w:val="20"/>
              </w:rPr>
              <w:t>johan.robinson@undp.org</w:t>
            </w:r>
          </w:p>
        </w:tc>
      </w:tr>
    </w:tbl>
    <w:p w:rsidR="00E83D4D" w:rsidRPr="006F366A" w:rsidRDefault="00E83D4D" w:rsidP="00251DF0">
      <w:pPr>
        <w:rPr>
          <w:rFonts w:ascii="Times New Roman" w:hAnsi="Times New Roman" w:cs="Times New Roman"/>
          <w:color w:val="auto"/>
        </w:rPr>
      </w:pPr>
    </w:p>
    <w:sectPr w:rsidR="00E83D4D" w:rsidRPr="006F366A" w:rsidSect="008812F4">
      <w:footerReference w:type="even" r:id="rId16"/>
      <w:footerReference w:type="default" r:id="rId17"/>
      <w:pgSz w:w="12240" w:h="15840" w:code="1"/>
      <w:pgMar w:top="634" w:right="547" w:bottom="446" w:left="634"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33A2" w:rsidRDefault="009533A2" w:rsidP="00E30A20">
      <w:pPr>
        <w:spacing w:after="0" w:line="240" w:lineRule="auto"/>
      </w:pPr>
      <w:r>
        <w:separator/>
      </w:r>
    </w:p>
  </w:endnote>
  <w:endnote w:type="continuationSeparator" w:id="0">
    <w:p w:rsidR="009533A2" w:rsidRDefault="009533A2" w:rsidP="00E3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panose1 w:val="02020803070505020304"/>
    <w:charset w:val="00"/>
    <w:family w:val="auto"/>
    <w:pitch w:val="variable"/>
    <w:sig w:usb0="E0002AE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3A2" w:rsidRDefault="009533A2" w:rsidP="005917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533A2" w:rsidRDefault="009533A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3A2" w:rsidRDefault="009533A2" w:rsidP="0059171B">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D17832">
      <w:rPr>
        <w:rStyle w:val="PageNumber"/>
        <w:noProof/>
        <w:sz w:val="20"/>
      </w:rPr>
      <w:t>14</w:t>
    </w:r>
    <w:r>
      <w:rPr>
        <w:rStyle w:val="PageNumber"/>
        <w:sz w:val="20"/>
      </w:rPr>
      <w:fldChar w:fldCharType="end"/>
    </w:r>
  </w:p>
  <w:p w:rsidR="009533A2" w:rsidRPr="00F47B30" w:rsidRDefault="009533A2" w:rsidP="00F47B30">
    <w:pPr>
      <w:pStyle w:val="Footer"/>
      <w:jc w:val="center"/>
      <w:rPr>
        <w:i/>
        <w:color w:val="999999"/>
        <w:sz w:val="20"/>
        <w:szCs w:val="20"/>
      </w:rPr>
    </w:pPr>
    <w:r w:rsidRPr="00F47B30">
      <w:rPr>
        <w:i/>
        <w:color w:val="999999"/>
        <w:sz w:val="20"/>
        <w:szCs w:val="20"/>
      </w:rPr>
      <w:t xml:space="preserve">PIF 4416 </w:t>
    </w:r>
    <w:smartTag w:uri="urn:schemas-microsoft-com:office:smarttags" w:element="place">
      <w:r w:rsidRPr="00F47B30">
        <w:rPr>
          <w:i/>
          <w:color w:val="999999"/>
          <w:sz w:val="20"/>
          <w:szCs w:val="20"/>
        </w:rPr>
        <w:t>NE Armenia</w:t>
      </w:r>
    </w:smartTag>
    <w:r w:rsidRPr="00F47B30">
      <w:rPr>
        <w:i/>
        <w:color w:val="999999"/>
        <w:sz w:val="20"/>
        <w:szCs w:val="20"/>
      </w:rPr>
      <w:t xml:space="preserve"> SFM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33A2" w:rsidRDefault="009533A2" w:rsidP="00E30A20">
      <w:pPr>
        <w:spacing w:after="0" w:line="240" w:lineRule="auto"/>
      </w:pPr>
      <w:r>
        <w:separator/>
      </w:r>
    </w:p>
  </w:footnote>
  <w:footnote w:type="continuationSeparator" w:id="0">
    <w:p w:rsidR="009533A2" w:rsidRDefault="009533A2" w:rsidP="00E30A20">
      <w:pPr>
        <w:spacing w:after="0" w:line="240" w:lineRule="auto"/>
      </w:pPr>
      <w:r>
        <w:continuationSeparator/>
      </w:r>
    </w:p>
  </w:footnote>
  <w:footnote w:id="1">
    <w:p w:rsidR="009533A2" w:rsidRDefault="009533A2" w:rsidP="00FE1B81">
      <w:pPr>
        <w:pStyle w:val="FootnoteText"/>
      </w:pPr>
      <w:r w:rsidRPr="004A4017">
        <w:rPr>
          <w:rStyle w:val="FootnoteReference"/>
          <w:sz w:val="16"/>
          <w:szCs w:val="16"/>
        </w:rPr>
        <w:footnoteRef/>
      </w:r>
      <w:r w:rsidRPr="004A4017">
        <w:rPr>
          <w:sz w:val="16"/>
          <w:szCs w:val="16"/>
        </w:rPr>
        <w:t xml:space="preserve"> A precise baseline score will be defined at the PPG stage. A range of 15-20% increase is an average increase committed in other similar GEF projects. A precise target, fine-tuned to the project site context will be defined at the PPG stage. </w:t>
      </w:r>
    </w:p>
  </w:footnote>
  <w:footnote w:id="2">
    <w:p w:rsidR="009533A2" w:rsidRPr="00A0250B" w:rsidRDefault="009533A2" w:rsidP="00FE1B81">
      <w:pPr>
        <w:pStyle w:val="FootnoteText"/>
      </w:pPr>
      <w:r>
        <w:rPr>
          <w:rStyle w:val="FootnoteReference"/>
        </w:rPr>
        <w:footnoteRef/>
      </w:r>
      <w:r>
        <w:t xml:space="preserve"> </w:t>
      </w:r>
      <w:r w:rsidRPr="0071413D">
        <w:rPr>
          <w:sz w:val="16"/>
          <w:szCs w:val="16"/>
        </w:rPr>
        <w:t xml:space="preserve">  </w:t>
      </w:r>
      <w:r>
        <w:rPr>
          <w:sz w:val="16"/>
          <w:szCs w:val="16"/>
        </w:rPr>
        <w:t>A precise baseline score will be defined at the PPG stage. A range of 15 – 20% is an average increase committed in other similar GEF projects. A precise target, fine-tu</w:t>
      </w:r>
      <w:r w:rsidRPr="00A0250B">
        <w:rPr>
          <w:sz w:val="16"/>
          <w:szCs w:val="16"/>
        </w:rPr>
        <w:t>ned to the project site context will be defined at the PPG stage.</w:t>
      </w:r>
    </w:p>
  </w:footnote>
  <w:footnote w:id="3">
    <w:p w:rsidR="009533A2" w:rsidRPr="00AD309C" w:rsidRDefault="009533A2">
      <w:pPr>
        <w:pStyle w:val="FootnoteText"/>
        <w:rPr>
          <w:sz w:val="16"/>
          <w:szCs w:val="16"/>
        </w:rPr>
      </w:pPr>
      <w:r w:rsidRPr="00A0250B">
        <w:rPr>
          <w:rStyle w:val="FootnoteReference"/>
          <w:sz w:val="16"/>
          <w:szCs w:val="16"/>
        </w:rPr>
        <w:footnoteRef/>
      </w:r>
      <w:r w:rsidRPr="00A0250B">
        <w:rPr>
          <w:sz w:val="16"/>
          <w:szCs w:val="16"/>
        </w:rPr>
        <w:t xml:space="preserve"> The possibility of establishing a PES scheme as an alternative will be explored during the PPG phase.</w:t>
      </w:r>
    </w:p>
  </w:footnote>
  <w:footnote w:id="4">
    <w:p w:rsidR="009533A2" w:rsidRDefault="009533A2" w:rsidP="0057420A">
      <w:pPr>
        <w:pStyle w:val="FootnoteText"/>
      </w:pPr>
      <w:r w:rsidRPr="00E1503F">
        <w:rPr>
          <w:rStyle w:val="FootnoteReference"/>
          <w:sz w:val="18"/>
          <w:szCs w:val="18"/>
        </w:rPr>
        <w:footnoteRef/>
      </w:r>
      <w:r w:rsidRPr="00E1503F">
        <w:rPr>
          <w:sz w:val="18"/>
          <w:szCs w:val="18"/>
          <w:lang w:val="da-DK"/>
        </w:rPr>
        <w:t xml:space="preserve"> Olson, D.M. &amp; Dinerstein, E. 2002. </w:t>
      </w:r>
      <w:r w:rsidRPr="00E1503F">
        <w:rPr>
          <w:i/>
          <w:sz w:val="18"/>
          <w:szCs w:val="18"/>
          <w:lang w:val="da-DK"/>
        </w:rPr>
        <w:t>The Global 200: Priority Ecoregions for Global Conservation</w:t>
      </w:r>
      <w:r w:rsidRPr="00E1503F">
        <w:rPr>
          <w:sz w:val="18"/>
          <w:szCs w:val="18"/>
          <w:lang w:val="da-DK"/>
        </w:rPr>
        <w:t>. Ann. Missouri Bot. Gard. 89:199 – 224.</w:t>
      </w:r>
    </w:p>
  </w:footnote>
  <w:footnote w:id="5">
    <w:p w:rsidR="009533A2" w:rsidRPr="0056417B" w:rsidRDefault="009533A2" w:rsidP="0057420A">
      <w:pPr>
        <w:pStyle w:val="FootnoteText"/>
        <w:rPr>
          <w:lang w:val="da-DK"/>
        </w:rPr>
      </w:pPr>
      <w:r w:rsidRPr="00E1503F">
        <w:rPr>
          <w:rStyle w:val="FootnoteReference"/>
          <w:sz w:val="18"/>
          <w:szCs w:val="18"/>
        </w:rPr>
        <w:footnoteRef/>
      </w:r>
      <w:r w:rsidRPr="00E1503F">
        <w:rPr>
          <w:sz w:val="18"/>
          <w:szCs w:val="18"/>
          <w:lang w:val="da-DK"/>
        </w:rPr>
        <w:t xml:space="preserve"> Mittermeier, R.A., Myers, N. &amp; Mittermeier, C.G. 2000. </w:t>
      </w:r>
      <w:r w:rsidRPr="00E1503F">
        <w:rPr>
          <w:i/>
          <w:sz w:val="18"/>
          <w:szCs w:val="18"/>
          <w:lang w:val="da-DK"/>
        </w:rPr>
        <w:t>Hotspots: Earth’s Biologically Richest and Most Endangered Terrestrial Ecoregions.</w:t>
      </w:r>
      <w:r w:rsidRPr="00E1503F">
        <w:rPr>
          <w:sz w:val="18"/>
          <w:szCs w:val="18"/>
          <w:lang w:val="da-DK"/>
        </w:rPr>
        <w:t xml:space="preserve"> Conservation International. </w:t>
      </w:r>
    </w:p>
  </w:footnote>
  <w:footnote w:id="6">
    <w:p w:rsidR="009533A2" w:rsidRPr="0056417B" w:rsidRDefault="009533A2" w:rsidP="0057420A">
      <w:pPr>
        <w:pStyle w:val="FootnoteText"/>
        <w:rPr>
          <w:lang w:val="da-DK"/>
        </w:rPr>
      </w:pPr>
      <w:r w:rsidRPr="003715B4">
        <w:rPr>
          <w:rStyle w:val="FootnoteReference"/>
          <w:sz w:val="18"/>
          <w:szCs w:val="18"/>
        </w:rPr>
        <w:footnoteRef/>
      </w:r>
      <w:r w:rsidRPr="00034B73">
        <w:rPr>
          <w:sz w:val="18"/>
          <w:szCs w:val="18"/>
          <w:lang w:val="da-DK"/>
        </w:rPr>
        <w:t xml:space="preserve"> These include Endemic: </w:t>
      </w:r>
      <w:r w:rsidRPr="00034B73">
        <w:rPr>
          <w:i/>
          <w:sz w:val="18"/>
          <w:szCs w:val="18"/>
          <w:lang w:val="da-DK"/>
        </w:rPr>
        <w:t>Myosotis claralaghezica</w:t>
      </w:r>
      <w:r w:rsidRPr="00034B73">
        <w:rPr>
          <w:sz w:val="18"/>
          <w:szCs w:val="18"/>
          <w:lang w:val="da-DK"/>
        </w:rPr>
        <w:t xml:space="preserve">, </w:t>
      </w:r>
      <w:r w:rsidRPr="00034B73">
        <w:rPr>
          <w:i/>
          <w:sz w:val="18"/>
          <w:szCs w:val="18"/>
          <w:lang w:val="da-DK"/>
        </w:rPr>
        <w:t>Colchicum goharae</w:t>
      </w:r>
      <w:r w:rsidRPr="00034B73">
        <w:rPr>
          <w:sz w:val="18"/>
          <w:szCs w:val="18"/>
          <w:lang w:val="da-DK"/>
        </w:rPr>
        <w:t xml:space="preserve">, </w:t>
      </w:r>
      <w:r w:rsidRPr="00034B73">
        <w:rPr>
          <w:i/>
          <w:sz w:val="18"/>
          <w:szCs w:val="18"/>
          <w:lang w:val="da-DK"/>
        </w:rPr>
        <w:t>Merendera mirzoevae</w:t>
      </w:r>
      <w:r w:rsidRPr="00034B73">
        <w:rPr>
          <w:sz w:val="18"/>
          <w:szCs w:val="18"/>
          <w:lang w:val="da-DK"/>
        </w:rPr>
        <w:t xml:space="preserve">, </w:t>
      </w:r>
      <w:r w:rsidRPr="00034B73">
        <w:rPr>
          <w:i/>
          <w:sz w:val="18"/>
          <w:szCs w:val="18"/>
          <w:lang w:val="da-DK"/>
        </w:rPr>
        <w:t>Ribus armenum</w:t>
      </w:r>
      <w:r w:rsidRPr="00034B73">
        <w:rPr>
          <w:sz w:val="18"/>
          <w:szCs w:val="18"/>
          <w:lang w:val="da-DK"/>
        </w:rPr>
        <w:t xml:space="preserve">, </w:t>
      </w:r>
      <w:r w:rsidRPr="00034B73">
        <w:rPr>
          <w:i/>
          <w:sz w:val="18"/>
          <w:szCs w:val="18"/>
          <w:lang w:val="da-DK"/>
        </w:rPr>
        <w:t>Cotoneaster armenus</w:t>
      </w:r>
      <w:r w:rsidRPr="00034B73">
        <w:rPr>
          <w:sz w:val="18"/>
          <w:szCs w:val="18"/>
          <w:lang w:val="da-DK"/>
        </w:rPr>
        <w:t xml:space="preserve">, </w:t>
      </w:r>
      <w:r w:rsidRPr="00034B73">
        <w:rPr>
          <w:i/>
          <w:sz w:val="18"/>
          <w:szCs w:val="18"/>
          <w:lang w:val="da-DK"/>
        </w:rPr>
        <w:t>Pyrus elata</w:t>
      </w:r>
      <w:r w:rsidRPr="00034B73">
        <w:rPr>
          <w:sz w:val="18"/>
          <w:szCs w:val="18"/>
          <w:lang w:val="da-DK"/>
        </w:rPr>
        <w:t xml:space="preserve">, </w:t>
      </w:r>
      <w:r w:rsidRPr="00034B73">
        <w:rPr>
          <w:i/>
          <w:sz w:val="18"/>
          <w:szCs w:val="18"/>
          <w:lang w:val="da-DK"/>
        </w:rPr>
        <w:t>Pyrus hajastana</w:t>
      </w:r>
      <w:r w:rsidRPr="00034B73">
        <w:rPr>
          <w:sz w:val="18"/>
          <w:szCs w:val="18"/>
          <w:lang w:val="da-DK"/>
        </w:rPr>
        <w:t xml:space="preserve">, </w:t>
      </w:r>
      <w:r w:rsidRPr="00034B73">
        <w:rPr>
          <w:i/>
          <w:sz w:val="18"/>
          <w:szCs w:val="18"/>
          <w:lang w:val="da-DK"/>
        </w:rPr>
        <w:t>Pyrus sosnowskyi</w:t>
      </w:r>
      <w:r w:rsidRPr="00034B73">
        <w:rPr>
          <w:sz w:val="18"/>
          <w:szCs w:val="18"/>
          <w:lang w:val="da-DK"/>
        </w:rPr>
        <w:t xml:space="preserve">, </w:t>
      </w:r>
      <w:r w:rsidRPr="00034B73">
        <w:rPr>
          <w:i/>
          <w:sz w:val="18"/>
          <w:szCs w:val="18"/>
          <w:lang w:val="da-DK"/>
        </w:rPr>
        <w:t>Pyrus tamamschianae</w:t>
      </w:r>
      <w:r w:rsidRPr="00034B73">
        <w:rPr>
          <w:sz w:val="18"/>
          <w:szCs w:val="18"/>
          <w:lang w:val="da-DK"/>
        </w:rPr>
        <w:t xml:space="preserve">, </w:t>
      </w:r>
      <w:r w:rsidRPr="00034B73">
        <w:rPr>
          <w:i/>
          <w:sz w:val="18"/>
          <w:szCs w:val="18"/>
          <w:lang w:val="da-DK"/>
        </w:rPr>
        <w:t>Pyrus voronovii</w:t>
      </w:r>
      <w:r w:rsidRPr="00034B73">
        <w:rPr>
          <w:sz w:val="18"/>
          <w:szCs w:val="18"/>
          <w:lang w:val="da-DK"/>
        </w:rPr>
        <w:t xml:space="preserve">, </w:t>
      </w:r>
      <w:r w:rsidRPr="00034B73">
        <w:rPr>
          <w:i/>
          <w:sz w:val="18"/>
          <w:szCs w:val="18"/>
          <w:lang w:val="da-DK"/>
        </w:rPr>
        <w:t>Rosa sosnovskyana</w:t>
      </w:r>
      <w:r w:rsidRPr="00034B73">
        <w:rPr>
          <w:sz w:val="18"/>
          <w:szCs w:val="18"/>
          <w:lang w:val="da-DK"/>
        </w:rPr>
        <w:t xml:space="preserve">, </w:t>
      </w:r>
      <w:r w:rsidRPr="00034B73">
        <w:rPr>
          <w:i/>
          <w:sz w:val="18"/>
          <w:szCs w:val="18"/>
          <w:lang w:val="da-DK"/>
        </w:rPr>
        <w:t>Rosa zangezura</w:t>
      </w:r>
      <w:r w:rsidRPr="00034B73">
        <w:rPr>
          <w:sz w:val="18"/>
          <w:szCs w:val="18"/>
          <w:lang w:val="da-DK"/>
        </w:rPr>
        <w:t xml:space="preserve">, </w:t>
      </w:r>
      <w:r w:rsidRPr="00034B73">
        <w:rPr>
          <w:i/>
          <w:sz w:val="18"/>
          <w:szCs w:val="18"/>
          <w:lang w:val="da-DK"/>
        </w:rPr>
        <w:t>Rubus takhtadjanii</w:t>
      </w:r>
      <w:r w:rsidRPr="00034B73">
        <w:rPr>
          <w:sz w:val="18"/>
          <w:szCs w:val="18"/>
          <w:lang w:val="da-DK"/>
        </w:rPr>
        <w:t xml:space="preserve">, </w:t>
      </w:r>
      <w:r w:rsidRPr="00034B73">
        <w:rPr>
          <w:i/>
          <w:sz w:val="18"/>
          <w:szCs w:val="18"/>
          <w:lang w:val="da-DK"/>
        </w:rPr>
        <w:t>Rubus zangezurus</w:t>
      </w:r>
      <w:r w:rsidRPr="00034B73">
        <w:rPr>
          <w:sz w:val="18"/>
          <w:szCs w:val="18"/>
          <w:lang w:val="da-DK"/>
        </w:rPr>
        <w:t xml:space="preserve"> and rare species registered in the Red Book of Armenia: </w:t>
      </w:r>
      <w:r w:rsidRPr="00034B73">
        <w:rPr>
          <w:i/>
          <w:sz w:val="18"/>
          <w:szCs w:val="18"/>
          <w:lang w:val="da-DK"/>
        </w:rPr>
        <w:t>Ophioglossum vulgatum</w:t>
      </w:r>
      <w:r w:rsidRPr="00034B73">
        <w:rPr>
          <w:sz w:val="18"/>
          <w:szCs w:val="18"/>
          <w:lang w:val="da-DK"/>
        </w:rPr>
        <w:t xml:space="preserve">, </w:t>
      </w:r>
      <w:r w:rsidRPr="00034B73">
        <w:rPr>
          <w:i/>
          <w:sz w:val="18"/>
          <w:szCs w:val="18"/>
          <w:lang w:val="da-DK"/>
        </w:rPr>
        <w:t>Pteridium tauricum</w:t>
      </w:r>
      <w:r w:rsidRPr="00034B73">
        <w:rPr>
          <w:sz w:val="18"/>
          <w:szCs w:val="18"/>
          <w:lang w:val="da-DK"/>
        </w:rPr>
        <w:t xml:space="preserve">, </w:t>
      </w:r>
      <w:r w:rsidRPr="00034B73">
        <w:rPr>
          <w:i/>
          <w:sz w:val="18"/>
          <w:szCs w:val="18"/>
          <w:lang w:val="da-DK"/>
        </w:rPr>
        <w:t>Galanthus alpines</w:t>
      </w:r>
      <w:r w:rsidRPr="00034B73">
        <w:rPr>
          <w:sz w:val="18"/>
          <w:szCs w:val="18"/>
          <w:lang w:val="da-DK"/>
        </w:rPr>
        <w:t xml:space="preserve">, </w:t>
      </w:r>
      <w:r w:rsidRPr="00034B73">
        <w:rPr>
          <w:i/>
          <w:sz w:val="18"/>
          <w:szCs w:val="18"/>
          <w:lang w:val="da-DK"/>
        </w:rPr>
        <w:t>Castanea sativa</w:t>
      </w:r>
      <w:r w:rsidRPr="00034B73">
        <w:rPr>
          <w:sz w:val="18"/>
          <w:szCs w:val="18"/>
          <w:lang w:val="da-DK"/>
        </w:rPr>
        <w:t xml:space="preserve">, </w:t>
      </w:r>
      <w:r w:rsidRPr="00034B73">
        <w:rPr>
          <w:i/>
          <w:sz w:val="18"/>
          <w:szCs w:val="18"/>
          <w:lang w:val="da-DK"/>
        </w:rPr>
        <w:t>Tulipa confusa</w:t>
      </w:r>
      <w:r w:rsidRPr="00034B73">
        <w:rPr>
          <w:sz w:val="18"/>
          <w:szCs w:val="18"/>
          <w:lang w:val="da-DK"/>
        </w:rPr>
        <w:t xml:space="preserve">, </w:t>
      </w:r>
      <w:r w:rsidRPr="00034B73">
        <w:rPr>
          <w:i/>
          <w:sz w:val="18"/>
          <w:szCs w:val="18"/>
          <w:lang w:val="da-DK"/>
        </w:rPr>
        <w:t>Epipogium aphyllum</w:t>
      </w:r>
      <w:r w:rsidRPr="00034B73">
        <w:rPr>
          <w:sz w:val="18"/>
          <w:szCs w:val="18"/>
          <w:lang w:val="da-DK"/>
        </w:rPr>
        <w:t>.</w:t>
      </w:r>
    </w:p>
  </w:footnote>
  <w:footnote w:id="7">
    <w:p w:rsidR="009533A2" w:rsidRDefault="009533A2" w:rsidP="0057420A">
      <w:pPr>
        <w:pStyle w:val="FootnoteText"/>
      </w:pPr>
      <w:r>
        <w:rPr>
          <w:rStyle w:val="FootnoteReference"/>
        </w:rPr>
        <w:footnoteRef/>
      </w:r>
      <w:r>
        <w:t xml:space="preserve"> </w:t>
      </w:r>
      <w:r w:rsidRPr="006B4395">
        <w:rPr>
          <w:sz w:val="18"/>
          <w:szCs w:val="18"/>
        </w:rPr>
        <w:t xml:space="preserve">Ministry of Nature Protection, 2010. </w:t>
      </w:r>
      <w:r w:rsidRPr="00476EC3">
        <w:rPr>
          <w:i/>
          <w:sz w:val="18"/>
          <w:szCs w:val="18"/>
        </w:rPr>
        <w:t>Second National Communication under the United Nations Framework Convention on Climate Change</w:t>
      </w:r>
      <w:r w:rsidRPr="006B4395">
        <w:rPr>
          <w:sz w:val="18"/>
          <w:szCs w:val="18"/>
        </w:rPr>
        <w:t>. Republic of Armenia.</w:t>
      </w:r>
    </w:p>
  </w:footnote>
  <w:footnote w:id="8">
    <w:p w:rsidR="009533A2" w:rsidRDefault="009533A2">
      <w:pPr>
        <w:pStyle w:val="FootnoteText"/>
      </w:pPr>
      <w:r w:rsidRPr="008D3955">
        <w:rPr>
          <w:rStyle w:val="FootnoteReference"/>
          <w:sz w:val="18"/>
          <w:szCs w:val="18"/>
        </w:rPr>
        <w:footnoteRef/>
      </w:r>
      <w:r w:rsidRPr="008D3955">
        <w:rPr>
          <w:sz w:val="18"/>
          <w:szCs w:val="18"/>
        </w:rPr>
        <w:t xml:space="preserve"> Land allocated or envisaged for protection of forests, flora and fauna, nature protection, as well as land used in forestry but not covered by forests are considered forestland.</w:t>
      </w:r>
    </w:p>
  </w:footnote>
  <w:footnote w:id="9">
    <w:p w:rsidR="009533A2" w:rsidRDefault="009533A2" w:rsidP="003E032D">
      <w:pPr>
        <w:pStyle w:val="FootnoteText"/>
      </w:pPr>
      <w:r w:rsidRPr="00345FFA">
        <w:rPr>
          <w:rStyle w:val="FootnoteReference"/>
          <w:sz w:val="18"/>
          <w:szCs w:val="18"/>
        </w:rPr>
        <w:footnoteRef/>
      </w:r>
      <w:r w:rsidRPr="00345FFA">
        <w:rPr>
          <w:sz w:val="18"/>
          <w:szCs w:val="18"/>
        </w:rPr>
        <w:t xml:space="preserve"> Forests of protection significance are the following: (i) forests in water protection zones of water bodies; (ii) forests located on steep slopes (more than 30 degrees) (iii) forest belt with the width of 200m on the upper and lower timberline; (iv) forest growing in semi-desert, steppe and forest-steppe areas; (v) forest with a radius of 100 m surrounding botanical gardens, zoological parks and arboretums. </w:t>
      </w:r>
    </w:p>
  </w:footnote>
  <w:footnote w:id="10">
    <w:p w:rsidR="009533A2" w:rsidRDefault="009533A2" w:rsidP="003E032D">
      <w:pPr>
        <w:pStyle w:val="FootnoteText"/>
      </w:pPr>
      <w:r w:rsidRPr="00345FFA">
        <w:rPr>
          <w:rStyle w:val="FootnoteReference"/>
          <w:sz w:val="18"/>
          <w:szCs w:val="18"/>
        </w:rPr>
        <w:footnoteRef/>
      </w:r>
      <w:r w:rsidRPr="00345FFA">
        <w:rPr>
          <w:sz w:val="18"/>
          <w:szCs w:val="18"/>
        </w:rPr>
        <w:t xml:space="preserve"> Forests of special significance ar</w:t>
      </w:r>
      <w:r>
        <w:rPr>
          <w:sz w:val="18"/>
          <w:szCs w:val="18"/>
        </w:rPr>
        <w:t xml:space="preserve">e the following: (i) </w:t>
      </w:r>
      <w:r w:rsidRPr="00345FFA">
        <w:rPr>
          <w:sz w:val="18"/>
          <w:szCs w:val="18"/>
        </w:rPr>
        <w:t>municipal forests and for</w:t>
      </w:r>
      <w:r>
        <w:rPr>
          <w:sz w:val="18"/>
          <w:szCs w:val="18"/>
        </w:rPr>
        <w:t>ests located close to cities; (</w:t>
      </w:r>
      <w:r w:rsidRPr="00345FFA">
        <w:rPr>
          <w:sz w:val="18"/>
          <w:szCs w:val="18"/>
        </w:rPr>
        <w:t>ii) forests of recreational and hea</w:t>
      </w:r>
      <w:r>
        <w:rPr>
          <w:sz w:val="18"/>
          <w:szCs w:val="18"/>
        </w:rPr>
        <w:t>lth protection significance; (iii</w:t>
      </w:r>
      <w:r w:rsidRPr="00345FFA">
        <w:rPr>
          <w:sz w:val="18"/>
          <w:szCs w:val="18"/>
        </w:rPr>
        <w:t>) border forests and forests of military significance; (</w:t>
      </w:r>
      <w:r>
        <w:rPr>
          <w:sz w:val="18"/>
          <w:szCs w:val="18"/>
        </w:rPr>
        <w:t>i</w:t>
      </w:r>
      <w:r w:rsidRPr="00345FFA">
        <w:rPr>
          <w:sz w:val="18"/>
          <w:szCs w:val="18"/>
        </w:rPr>
        <w:t>v) forests having historical and scientific value; (v</w:t>
      </w:r>
      <w:r>
        <w:rPr>
          <w:sz w:val="18"/>
          <w:szCs w:val="18"/>
        </w:rPr>
        <w:t>i</w:t>
      </w:r>
      <w:r w:rsidRPr="00345FFA">
        <w:rPr>
          <w:sz w:val="18"/>
          <w:szCs w:val="18"/>
        </w:rPr>
        <w:t xml:space="preserve">) forests protecting sanitary zones. </w:t>
      </w:r>
    </w:p>
  </w:footnote>
  <w:footnote w:id="11">
    <w:p w:rsidR="009533A2" w:rsidRDefault="009533A2">
      <w:pPr>
        <w:pStyle w:val="FootnoteText"/>
      </w:pPr>
      <w:r w:rsidRPr="00741537">
        <w:rPr>
          <w:rStyle w:val="FootnoteReference"/>
          <w:sz w:val="18"/>
          <w:szCs w:val="18"/>
        </w:rPr>
        <w:footnoteRef/>
      </w:r>
      <w:r w:rsidRPr="00741537">
        <w:rPr>
          <w:sz w:val="18"/>
          <w:szCs w:val="18"/>
        </w:rPr>
        <w:t xml:space="preserve"> Rough guestimate – exact figure will be obtained during the PPG.</w:t>
      </w:r>
    </w:p>
  </w:footnote>
  <w:footnote w:id="12">
    <w:p w:rsidR="009533A2" w:rsidRDefault="009533A2" w:rsidP="00A26BF0">
      <w:pPr>
        <w:pStyle w:val="FootnoteText"/>
      </w:pPr>
      <w:r>
        <w:rPr>
          <w:rStyle w:val="FootnoteReference"/>
        </w:rPr>
        <w:footnoteRef/>
      </w:r>
      <w:r>
        <w:t xml:space="preserve"> </w:t>
      </w:r>
      <w:r w:rsidRPr="000A2DDB">
        <w:rPr>
          <w:sz w:val="18"/>
          <w:szCs w:val="18"/>
        </w:rPr>
        <w:t xml:space="preserve">As a result of the Law on Nature Protection and Nature Use Payments and the Law on Targeted Utilization of Environmental Payments by Companies, the State budget for environmental management increased from almost US$ 1.5 million in 1998 to US$ 29.6 million in 2011. However, this state budget still did not exceed the 50% mark of cash revenues received from the environmental payments.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630" w:hanging="360"/>
      </w:pPr>
      <w:rPr>
        <w:rFonts w:cs="Times New Roman" w:hint="default"/>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0B637DE4"/>
    <w:multiLevelType w:val="hybridMultilevel"/>
    <w:tmpl w:val="CC84A314"/>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0EDB1F61"/>
    <w:multiLevelType w:val="multilevel"/>
    <w:tmpl w:val="FD36B218"/>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3125469"/>
    <w:multiLevelType w:val="hybridMultilevel"/>
    <w:tmpl w:val="A992EADE"/>
    <w:lvl w:ilvl="0" w:tplc="CEB48A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B1F1DB1"/>
    <w:multiLevelType w:val="hybridMultilevel"/>
    <w:tmpl w:val="7C5A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994D6A"/>
    <w:multiLevelType w:val="hybridMultilevel"/>
    <w:tmpl w:val="42A625FE"/>
    <w:lvl w:ilvl="0" w:tplc="F086E6E4">
      <w:start w:val="1000"/>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9D0384"/>
    <w:multiLevelType w:val="hybridMultilevel"/>
    <w:tmpl w:val="9FC60B08"/>
    <w:lvl w:ilvl="0" w:tplc="0409000F">
      <w:start w:val="1"/>
      <w:numFmt w:val="decimal"/>
      <w:lvlText w:val="%1."/>
      <w:lvlJc w:val="left"/>
      <w:pPr>
        <w:ind w:left="720" w:hanging="360"/>
      </w:pPr>
      <w:rPr>
        <w:rFonts w:ascii="Times New Roman" w:hAnsi="Times New Roman" w:cs="Times New Roman" w:hint="default"/>
        <w:sz w:val="2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2C201115"/>
    <w:multiLevelType w:val="hybridMultilevel"/>
    <w:tmpl w:val="30FE021A"/>
    <w:lvl w:ilvl="0" w:tplc="F9F832D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CA60A4"/>
    <w:multiLevelType w:val="hybridMultilevel"/>
    <w:tmpl w:val="8CB81440"/>
    <w:lvl w:ilvl="0" w:tplc="04090003">
      <w:start w:val="1"/>
      <w:numFmt w:val="bullet"/>
      <w:lvlText w:val="o"/>
      <w:lvlJc w:val="left"/>
      <w:pPr>
        <w:ind w:left="1170" w:hanging="360"/>
      </w:pPr>
      <w:rPr>
        <w:rFonts w:ascii="Courier New" w:hAnsi="Courier New"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9">
    <w:nsid w:val="34A27BC5"/>
    <w:multiLevelType w:val="hybridMultilevel"/>
    <w:tmpl w:val="BFA4A312"/>
    <w:lvl w:ilvl="0" w:tplc="838CF878">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6325C6F"/>
    <w:multiLevelType w:val="hybridMultilevel"/>
    <w:tmpl w:val="9BCE9CE8"/>
    <w:lvl w:ilvl="0" w:tplc="F086E6E4">
      <w:start w:val="1000"/>
      <w:numFmt w:val="bullet"/>
      <w:lvlText w:val="-"/>
      <w:lvlJc w:val="left"/>
      <w:pPr>
        <w:tabs>
          <w:tab w:val="num" w:pos="6480"/>
        </w:tabs>
        <w:ind w:left="6480" w:hanging="360"/>
      </w:pPr>
      <w:rPr>
        <w:rFonts w:ascii="Times New Roman" w:eastAsia="Times New Roman" w:hAnsi="Times New Roman" w:hint="default"/>
        <w:b w:val="0"/>
        <w:color w:val="000000"/>
      </w:rPr>
    </w:lvl>
    <w:lvl w:ilvl="1" w:tplc="087845B0">
      <w:start w:val="1"/>
      <w:numFmt w:val="lowerRoman"/>
      <w:lvlText w:val="%2)"/>
      <w:lvlJc w:val="left"/>
      <w:pPr>
        <w:tabs>
          <w:tab w:val="num" w:pos="1440"/>
        </w:tabs>
        <w:ind w:left="1440" w:hanging="720"/>
      </w:pPr>
      <w:rPr>
        <w:rFonts w:cs="Times New Roman" w:hint="default"/>
      </w:rPr>
    </w:lvl>
    <w:lvl w:ilvl="2" w:tplc="FFFFFFFF" w:tentative="1">
      <w:start w:val="1"/>
      <w:numFmt w:val="lowerRoman"/>
      <w:lvlText w:val="%3."/>
      <w:lvlJc w:val="right"/>
      <w:pPr>
        <w:ind w:left="1800" w:hanging="180"/>
      </w:pPr>
      <w:rPr>
        <w:rFonts w:cs="Times New Roman"/>
      </w:rPr>
    </w:lvl>
    <w:lvl w:ilvl="3" w:tplc="FFFFFFFF" w:tentative="1">
      <w:start w:val="1"/>
      <w:numFmt w:val="decimal"/>
      <w:lvlText w:val="%4."/>
      <w:lvlJc w:val="left"/>
      <w:pPr>
        <w:ind w:left="2520" w:hanging="360"/>
      </w:pPr>
      <w:rPr>
        <w:rFonts w:cs="Times New Roman"/>
      </w:rPr>
    </w:lvl>
    <w:lvl w:ilvl="4" w:tplc="FFFFFFFF" w:tentative="1">
      <w:start w:val="1"/>
      <w:numFmt w:val="lowerLetter"/>
      <w:lvlText w:val="%5."/>
      <w:lvlJc w:val="left"/>
      <w:pPr>
        <w:ind w:left="3240" w:hanging="360"/>
      </w:pPr>
      <w:rPr>
        <w:rFonts w:cs="Times New Roman"/>
      </w:rPr>
    </w:lvl>
    <w:lvl w:ilvl="5" w:tplc="FFFFFFFF" w:tentative="1">
      <w:start w:val="1"/>
      <w:numFmt w:val="lowerRoman"/>
      <w:lvlText w:val="%6."/>
      <w:lvlJc w:val="right"/>
      <w:pPr>
        <w:ind w:left="3960" w:hanging="180"/>
      </w:pPr>
      <w:rPr>
        <w:rFonts w:cs="Times New Roman"/>
      </w:rPr>
    </w:lvl>
    <w:lvl w:ilvl="6" w:tplc="FFFFFFFF" w:tentative="1">
      <w:start w:val="1"/>
      <w:numFmt w:val="decimal"/>
      <w:lvlText w:val="%7."/>
      <w:lvlJc w:val="left"/>
      <w:pPr>
        <w:ind w:left="4680" w:hanging="360"/>
      </w:pPr>
      <w:rPr>
        <w:rFonts w:cs="Times New Roman"/>
      </w:rPr>
    </w:lvl>
    <w:lvl w:ilvl="7" w:tplc="FFFFFFFF" w:tentative="1">
      <w:start w:val="1"/>
      <w:numFmt w:val="lowerLetter"/>
      <w:lvlText w:val="%8."/>
      <w:lvlJc w:val="left"/>
      <w:pPr>
        <w:ind w:left="5400" w:hanging="360"/>
      </w:pPr>
      <w:rPr>
        <w:rFonts w:cs="Times New Roman"/>
      </w:rPr>
    </w:lvl>
    <w:lvl w:ilvl="8" w:tplc="FFFFFFFF" w:tentative="1">
      <w:start w:val="1"/>
      <w:numFmt w:val="lowerRoman"/>
      <w:lvlText w:val="%9."/>
      <w:lvlJc w:val="right"/>
      <w:pPr>
        <w:ind w:left="6120" w:hanging="180"/>
      </w:pPr>
      <w:rPr>
        <w:rFonts w:cs="Times New Roman"/>
      </w:rPr>
    </w:lvl>
  </w:abstractNum>
  <w:abstractNum w:abstractNumId="22">
    <w:nsid w:val="391B7D46"/>
    <w:multiLevelType w:val="hybridMultilevel"/>
    <w:tmpl w:val="211480CE"/>
    <w:lvl w:ilvl="0" w:tplc="0494DE64">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3F2F221A"/>
    <w:multiLevelType w:val="hybridMultilevel"/>
    <w:tmpl w:val="CDF48C16"/>
    <w:lvl w:ilvl="0" w:tplc="BACEE7F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0820E35"/>
    <w:multiLevelType w:val="hybridMultilevel"/>
    <w:tmpl w:val="E59412CA"/>
    <w:lvl w:ilvl="0" w:tplc="13E825F8">
      <w:start w:val="1"/>
      <w:numFmt w:val="upp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428F2AC0"/>
    <w:multiLevelType w:val="hybridMultilevel"/>
    <w:tmpl w:val="9B1E5E1C"/>
    <w:lvl w:ilvl="0" w:tplc="E498345C">
      <w:start w:val="1"/>
      <w:numFmt w:val="upperLetter"/>
      <w:lvlText w:val="%1."/>
      <w:lvlJc w:val="left"/>
      <w:pPr>
        <w:ind w:left="765" w:hanging="360"/>
      </w:pPr>
      <w:rPr>
        <w:rFonts w:cs="Times New Roman"/>
      </w:rPr>
    </w:lvl>
    <w:lvl w:ilvl="1" w:tplc="04090019" w:tentative="1">
      <w:start w:val="1"/>
      <w:numFmt w:val="lowerLetter"/>
      <w:lvlText w:val="%2."/>
      <w:lvlJc w:val="left"/>
      <w:pPr>
        <w:ind w:left="1485" w:hanging="360"/>
      </w:pPr>
      <w:rPr>
        <w:rFonts w:cs="Times New Roman"/>
      </w:rPr>
    </w:lvl>
    <w:lvl w:ilvl="2" w:tplc="0409001B" w:tentative="1">
      <w:start w:val="1"/>
      <w:numFmt w:val="lowerRoman"/>
      <w:lvlText w:val="%3."/>
      <w:lvlJc w:val="right"/>
      <w:pPr>
        <w:ind w:left="2205" w:hanging="180"/>
      </w:pPr>
      <w:rPr>
        <w:rFonts w:cs="Times New Roman"/>
      </w:rPr>
    </w:lvl>
    <w:lvl w:ilvl="3" w:tplc="0409000F" w:tentative="1">
      <w:start w:val="1"/>
      <w:numFmt w:val="decimal"/>
      <w:lvlText w:val="%4."/>
      <w:lvlJc w:val="left"/>
      <w:pPr>
        <w:ind w:left="2925" w:hanging="360"/>
      </w:pPr>
      <w:rPr>
        <w:rFonts w:cs="Times New Roman"/>
      </w:rPr>
    </w:lvl>
    <w:lvl w:ilvl="4" w:tplc="04090019" w:tentative="1">
      <w:start w:val="1"/>
      <w:numFmt w:val="lowerLetter"/>
      <w:lvlText w:val="%5."/>
      <w:lvlJc w:val="left"/>
      <w:pPr>
        <w:ind w:left="3645" w:hanging="360"/>
      </w:pPr>
      <w:rPr>
        <w:rFonts w:cs="Times New Roman"/>
      </w:rPr>
    </w:lvl>
    <w:lvl w:ilvl="5" w:tplc="0409001B" w:tentative="1">
      <w:start w:val="1"/>
      <w:numFmt w:val="lowerRoman"/>
      <w:lvlText w:val="%6."/>
      <w:lvlJc w:val="right"/>
      <w:pPr>
        <w:ind w:left="4365" w:hanging="180"/>
      </w:pPr>
      <w:rPr>
        <w:rFonts w:cs="Times New Roman"/>
      </w:rPr>
    </w:lvl>
    <w:lvl w:ilvl="6" w:tplc="0409000F" w:tentative="1">
      <w:start w:val="1"/>
      <w:numFmt w:val="decimal"/>
      <w:lvlText w:val="%7."/>
      <w:lvlJc w:val="left"/>
      <w:pPr>
        <w:ind w:left="5085" w:hanging="360"/>
      </w:pPr>
      <w:rPr>
        <w:rFonts w:cs="Times New Roman"/>
      </w:rPr>
    </w:lvl>
    <w:lvl w:ilvl="7" w:tplc="04090019" w:tentative="1">
      <w:start w:val="1"/>
      <w:numFmt w:val="lowerLetter"/>
      <w:lvlText w:val="%8."/>
      <w:lvlJc w:val="left"/>
      <w:pPr>
        <w:ind w:left="5805" w:hanging="360"/>
      </w:pPr>
      <w:rPr>
        <w:rFonts w:cs="Times New Roman"/>
      </w:rPr>
    </w:lvl>
    <w:lvl w:ilvl="8" w:tplc="0409001B" w:tentative="1">
      <w:start w:val="1"/>
      <w:numFmt w:val="lowerRoman"/>
      <w:lvlText w:val="%9."/>
      <w:lvlJc w:val="right"/>
      <w:pPr>
        <w:ind w:left="6525" w:hanging="180"/>
      </w:pPr>
      <w:rPr>
        <w:rFonts w:cs="Times New Roman"/>
      </w:rPr>
    </w:lvl>
  </w:abstractNum>
  <w:abstractNum w:abstractNumId="27">
    <w:nsid w:val="42CE1D55"/>
    <w:multiLevelType w:val="hybridMultilevel"/>
    <w:tmpl w:val="B2107BFC"/>
    <w:lvl w:ilvl="0" w:tplc="DBE0D0F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A247A8"/>
    <w:multiLevelType w:val="hybridMultilevel"/>
    <w:tmpl w:val="BC021310"/>
    <w:lvl w:ilvl="0" w:tplc="A92EBBF2">
      <w:start w:val="1"/>
      <w:numFmt w:val="decimal"/>
      <w:pStyle w:val="A"/>
      <w:lvlText w:val="%1."/>
      <w:lvlJc w:val="left"/>
      <w:pPr>
        <w:tabs>
          <w:tab w:val="num" w:pos="1080"/>
        </w:tabs>
        <w:ind w:left="1080" w:hanging="720"/>
      </w:pPr>
      <w:rPr>
        <w:rFonts w:cs="Times New Roman" w:hint="default"/>
        <w:b w:val="0"/>
      </w:rPr>
    </w:lvl>
    <w:lvl w:ilvl="1" w:tplc="464C223C">
      <w:start w:val="1"/>
      <w:numFmt w:val="lowerRoman"/>
      <w:lvlText w:val="(%2)"/>
      <w:lvlJc w:val="left"/>
      <w:pPr>
        <w:tabs>
          <w:tab w:val="num" w:pos="900"/>
        </w:tabs>
        <w:ind w:left="9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nsid w:val="4D562ADA"/>
    <w:multiLevelType w:val="hybridMultilevel"/>
    <w:tmpl w:val="AC28F7A8"/>
    <w:lvl w:ilvl="0" w:tplc="0409000B">
      <w:start w:val="3"/>
      <w:numFmt w:val="upperLetter"/>
      <w:lvlText w:val="%1."/>
      <w:lvlJc w:val="left"/>
      <w:pPr>
        <w:ind w:left="72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30">
    <w:nsid w:val="534136BB"/>
    <w:multiLevelType w:val="hybridMultilevel"/>
    <w:tmpl w:val="8834BEB6"/>
    <w:lvl w:ilvl="0" w:tplc="F9F832D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2">
    <w:nsid w:val="63EC339C"/>
    <w:multiLevelType w:val="hybridMultilevel"/>
    <w:tmpl w:val="0F9AC870"/>
    <w:lvl w:ilvl="0" w:tplc="EA3EE1E0">
      <w:start w:val="2"/>
      <w:numFmt w:val="upperLetter"/>
      <w:lvlText w:val="%1."/>
      <w:lvlJc w:val="left"/>
      <w:pPr>
        <w:ind w:left="720" w:hanging="360"/>
      </w:pPr>
      <w:rPr>
        <w:rFonts w:cs="Times New Roman" w:hint="default"/>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6AB853E1"/>
    <w:multiLevelType w:val="hybridMultilevel"/>
    <w:tmpl w:val="561CC2E4"/>
    <w:lvl w:ilvl="0" w:tplc="A84AB83C">
      <w:start w:val="1"/>
      <w:numFmt w:val="upperLetter"/>
      <w:lvlText w:val="%1."/>
      <w:lvlJc w:val="left"/>
      <w:pPr>
        <w:tabs>
          <w:tab w:val="num" w:pos="360"/>
        </w:tabs>
        <w:ind w:left="360" w:hanging="360"/>
      </w:pPr>
      <w:rPr>
        <w:rFonts w:cs="Times New Roman"/>
      </w:rPr>
    </w:lvl>
    <w:lvl w:ilvl="1" w:tplc="04090003">
      <w:start w:val="1"/>
      <w:numFmt w:val="lowerLetter"/>
      <w:lvlText w:val="%2."/>
      <w:lvlJc w:val="left"/>
      <w:pPr>
        <w:tabs>
          <w:tab w:val="num" w:pos="1080"/>
        </w:tabs>
        <w:ind w:left="1080" w:hanging="360"/>
      </w:pPr>
      <w:rPr>
        <w:rFonts w:cs="Times New Roman"/>
      </w:rPr>
    </w:lvl>
    <w:lvl w:ilvl="2" w:tplc="04090005" w:tentative="1">
      <w:start w:val="1"/>
      <w:numFmt w:val="lowerRoman"/>
      <w:lvlText w:val="%3."/>
      <w:lvlJc w:val="right"/>
      <w:pPr>
        <w:tabs>
          <w:tab w:val="num" w:pos="1800"/>
        </w:tabs>
        <w:ind w:left="1800" w:hanging="180"/>
      </w:pPr>
      <w:rPr>
        <w:rFonts w:cs="Times New Roman"/>
      </w:rPr>
    </w:lvl>
    <w:lvl w:ilvl="3" w:tplc="04090001" w:tentative="1">
      <w:start w:val="1"/>
      <w:numFmt w:val="decimal"/>
      <w:lvlText w:val="%4."/>
      <w:lvlJc w:val="left"/>
      <w:pPr>
        <w:tabs>
          <w:tab w:val="num" w:pos="2520"/>
        </w:tabs>
        <w:ind w:left="2520" w:hanging="360"/>
      </w:pPr>
      <w:rPr>
        <w:rFonts w:cs="Times New Roman"/>
      </w:rPr>
    </w:lvl>
    <w:lvl w:ilvl="4" w:tplc="04090003" w:tentative="1">
      <w:start w:val="1"/>
      <w:numFmt w:val="lowerLetter"/>
      <w:lvlText w:val="%5."/>
      <w:lvlJc w:val="left"/>
      <w:pPr>
        <w:tabs>
          <w:tab w:val="num" w:pos="3240"/>
        </w:tabs>
        <w:ind w:left="3240" w:hanging="360"/>
      </w:pPr>
      <w:rPr>
        <w:rFonts w:cs="Times New Roman"/>
      </w:rPr>
    </w:lvl>
    <w:lvl w:ilvl="5" w:tplc="04090005" w:tentative="1">
      <w:start w:val="1"/>
      <w:numFmt w:val="lowerRoman"/>
      <w:lvlText w:val="%6."/>
      <w:lvlJc w:val="right"/>
      <w:pPr>
        <w:tabs>
          <w:tab w:val="num" w:pos="3960"/>
        </w:tabs>
        <w:ind w:left="3960" w:hanging="180"/>
      </w:pPr>
      <w:rPr>
        <w:rFonts w:cs="Times New Roman"/>
      </w:rPr>
    </w:lvl>
    <w:lvl w:ilvl="6" w:tplc="04090001" w:tentative="1">
      <w:start w:val="1"/>
      <w:numFmt w:val="decimal"/>
      <w:lvlText w:val="%7."/>
      <w:lvlJc w:val="left"/>
      <w:pPr>
        <w:tabs>
          <w:tab w:val="num" w:pos="4680"/>
        </w:tabs>
        <w:ind w:left="4680" w:hanging="360"/>
      </w:pPr>
      <w:rPr>
        <w:rFonts w:cs="Times New Roman"/>
      </w:rPr>
    </w:lvl>
    <w:lvl w:ilvl="7" w:tplc="04090003" w:tentative="1">
      <w:start w:val="1"/>
      <w:numFmt w:val="lowerLetter"/>
      <w:lvlText w:val="%8."/>
      <w:lvlJc w:val="left"/>
      <w:pPr>
        <w:tabs>
          <w:tab w:val="num" w:pos="5400"/>
        </w:tabs>
        <w:ind w:left="5400" w:hanging="360"/>
      </w:pPr>
      <w:rPr>
        <w:rFonts w:cs="Times New Roman"/>
      </w:rPr>
    </w:lvl>
    <w:lvl w:ilvl="8" w:tplc="04090005" w:tentative="1">
      <w:start w:val="1"/>
      <w:numFmt w:val="lowerRoman"/>
      <w:lvlText w:val="%9."/>
      <w:lvlJc w:val="right"/>
      <w:pPr>
        <w:tabs>
          <w:tab w:val="num" w:pos="6120"/>
        </w:tabs>
        <w:ind w:left="6120" w:hanging="180"/>
      </w:pPr>
      <w:rPr>
        <w:rFonts w:cs="Times New Roman"/>
      </w:rPr>
    </w:lvl>
  </w:abstractNum>
  <w:abstractNum w:abstractNumId="34">
    <w:nsid w:val="6B696184"/>
    <w:multiLevelType w:val="hybridMultilevel"/>
    <w:tmpl w:val="0FB6128A"/>
    <w:lvl w:ilvl="0" w:tplc="FFFFFFFF">
      <w:start w:val="2"/>
      <w:numFmt w:val="decimal"/>
      <w:lvlText w:val="%1."/>
      <w:lvlJc w:val="left"/>
      <w:pPr>
        <w:ind w:left="6480" w:hanging="360"/>
      </w:pPr>
      <w:rPr>
        <w:rFonts w:eastAsia="Times New Roman" w:cs="Times New Roman" w:hint="default"/>
        <w:b w:val="0"/>
        <w:color w:val="000000"/>
      </w:rPr>
    </w:lvl>
    <w:lvl w:ilvl="1" w:tplc="FFFFFFFF" w:tentative="1">
      <w:start w:val="1"/>
      <w:numFmt w:val="lowerLetter"/>
      <w:lvlText w:val="%2."/>
      <w:lvlJc w:val="left"/>
      <w:pPr>
        <w:ind w:left="1080" w:hanging="360"/>
      </w:pPr>
      <w:rPr>
        <w:rFonts w:cs="Times New Roman"/>
      </w:rPr>
    </w:lvl>
    <w:lvl w:ilvl="2" w:tplc="FFFFFFFF" w:tentative="1">
      <w:start w:val="1"/>
      <w:numFmt w:val="lowerRoman"/>
      <w:lvlText w:val="%3."/>
      <w:lvlJc w:val="right"/>
      <w:pPr>
        <w:ind w:left="1800" w:hanging="180"/>
      </w:pPr>
      <w:rPr>
        <w:rFonts w:cs="Times New Roman"/>
      </w:rPr>
    </w:lvl>
    <w:lvl w:ilvl="3" w:tplc="FFFFFFFF" w:tentative="1">
      <w:start w:val="1"/>
      <w:numFmt w:val="decimal"/>
      <w:lvlText w:val="%4."/>
      <w:lvlJc w:val="left"/>
      <w:pPr>
        <w:ind w:left="2520" w:hanging="360"/>
      </w:pPr>
      <w:rPr>
        <w:rFonts w:cs="Times New Roman"/>
      </w:rPr>
    </w:lvl>
    <w:lvl w:ilvl="4" w:tplc="FFFFFFFF" w:tentative="1">
      <w:start w:val="1"/>
      <w:numFmt w:val="lowerLetter"/>
      <w:lvlText w:val="%5."/>
      <w:lvlJc w:val="left"/>
      <w:pPr>
        <w:ind w:left="3240" w:hanging="360"/>
      </w:pPr>
      <w:rPr>
        <w:rFonts w:cs="Times New Roman"/>
      </w:rPr>
    </w:lvl>
    <w:lvl w:ilvl="5" w:tplc="FFFFFFFF" w:tentative="1">
      <w:start w:val="1"/>
      <w:numFmt w:val="lowerRoman"/>
      <w:lvlText w:val="%6."/>
      <w:lvlJc w:val="right"/>
      <w:pPr>
        <w:ind w:left="3960" w:hanging="180"/>
      </w:pPr>
      <w:rPr>
        <w:rFonts w:cs="Times New Roman"/>
      </w:rPr>
    </w:lvl>
    <w:lvl w:ilvl="6" w:tplc="FFFFFFFF" w:tentative="1">
      <w:start w:val="1"/>
      <w:numFmt w:val="decimal"/>
      <w:lvlText w:val="%7."/>
      <w:lvlJc w:val="left"/>
      <w:pPr>
        <w:ind w:left="4680" w:hanging="360"/>
      </w:pPr>
      <w:rPr>
        <w:rFonts w:cs="Times New Roman"/>
      </w:rPr>
    </w:lvl>
    <w:lvl w:ilvl="7" w:tplc="FFFFFFFF" w:tentative="1">
      <w:start w:val="1"/>
      <w:numFmt w:val="lowerLetter"/>
      <w:lvlText w:val="%8."/>
      <w:lvlJc w:val="left"/>
      <w:pPr>
        <w:ind w:left="5400" w:hanging="360"/>
      </w:pPr>
      <w:rPr>
        <w:rFonts w:cs="Times New Roman"/>
      </w:rPr>
    </w:lvl>
    <w:lvl w:ilvl="8" w:tplc="FFFFFFFF" w:tentative="1">
      <w:start w:val="1"/>
      <w:numFmt w:val="lowerRoman"/>
      <w:lvlText w:val="%9."/>
      <w:lvlJc w:val="right"/>
      <w:pPr>
        <w:ind w:left="6120" w:hanging="180"/>
      </w:pPr>
      <w:rPr>
        <w:rFonts w:cs="Times New Roman"/>
      </w:rPr>
    </w:lvl>
  </w:abstractNum>
  <w:abstractNum w:abstractNumId="35">
    <w:nsid w:val="6DBD41ED"/>
    <w:multiLevelType w:val="hybridMultilevel"/>
    <w:tmpl w:val="AA029BA8"/>
    <w:lvl w:ilvl="0" w:tplc="7D94001A">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6">
    <w:nsid w:val="6E9D5366"/>
    <w:multiLevelType w:val="hybridMultilevel"/>
    <w:tmpl w:val="686C53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19F2242"/>
    <w:multiLevelType w:val="hybridMultilevel"/>
    <w:tmpl w:val="DA78A7F4"/>
    <w:lvl w:ilvl="0" w:tplc="04090015">
      <w:numFmt w:val="bullet"/>
      <w:lvlText w:val=""/>
      <w:lvlJc w:val="left"/>
      <w:pPr>
        <w:ind w:left="720" w:hanging="360"/>
      </w:pPr>
      <w:rPr>
        <w:rFonts w:ascii="Symbol" w:eastAsia="Times New Roman"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8">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78D725A6"/>
    <w:multiLevelType w:val="hybridMultilevel"/>
    <w:tmpl w:val="F7D43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0"/>
  </w:num>
  <w:num w:numId="3">
    <w:abstractNumId w:val="7"/>
  </w:num>
  <w:num w:numId="4">
    <w:abstractNumId w:val="31"/>
  </w:num>
  <w:num w:numId="5">
    <w:abstractNumId w:val="9"/>
  </w:num>
  <w:num w:numId="6">
    <w:abstractNumId w:val="15"/>
  </w:num>
  <w:num w:numId="7">
    <w:abstractNumId w:val="10"/>
  </w:num>
  <w:num w:numId="8">
    <w:abstractNumId w:val="4"/>
  </w:num>
  <w:num w:numId="9">
    <w:abstractNumId w:val="39"/>
  </w:num>
  <w:num w:numId="10">
    <w:abstractNumId w:val="1"/>
  </w:num>
  <w:num w:numId="11">
    <w:abstractNumId w:val="11"/>
  </w:num>
  <w:num w:numId="12">
    <w:abstractNumId w:val="6"/>
  </w:num>
  <w:num w:numId="13">
    <w:abstractNumId w:val="5"/>
  </w:num>
  <w:num w:numId="14">
    <w:abstractNumId w:val="29"/>
  </w:num>
  <w:num w:numId="15">
    <w:abstractNumId w:val="37"/>
  </w:num>
  <w:num w:numId="16">
    <w:abstractNumId w:val="20"/>
  </w:num>
  <w:num w:numId="17">
    <w:abstractNumId w:val="24"/>
  </w:num>
  <w:num w:numId="18">
    <w:abstractNumId w:val="35"/>
  </w:num>
  <w:num w:numId="19">
    <w:abstractNumId w:val="38"/>
  </w:num>
  <w:num w:numId="20">
    <w:abstractNumId w:val="8"/>
  </w:num>
  <w:num w:numId="21">
    <w:abstractNumId w:val="18"/>
  </w:num>
  <w:num w:numId="22">
    <w:abstractNumId w:val="32"/>
  </w:num>
  <w:num w:numId="23">
    <w:abstractNumId w:val="2"/>
  </w:num>
  <w:num w:numId="24">
    <w:abstractNumId w:val="25"/>
  </w:num>
  <w:num w:numId="25">
    <w:abstractNumId w:val="3"/>
  </w:num>
  <w:num w:numId="26">
    <w:abstractNumId w:val="26"/>
  </w:num>
  <w:num w:numId="27">
    <w:abstractNumId w:val="40"/>
  </w:num>
  <w:num w:numId="28">
    <w:abstractNumId w:val="12"/>
  </w:num>
  <w:num w:numId="29">
    <w:abstractNumId w:val="34"/>
  </w:num>
  <w:num w:numId="30">
    <w:abstractNumId w:val="27"/>
  </w:num>
  <w:num w:numId="31">
    <w:abstractNumId w:val="28"/>
  </w:num>
  <w:num w:numId="32">
    <w:abstractNumId w:val="23"/>
  </w:num>
  <w:num w:numId="33">
    <w:abstractNumId w:val="16"/>
  </w:num>
  <w:num w:numId="34">
    <w:abstractNumId w:val="22"/>
  </w:num>
  <w:num w:numId="35">
    <w:abstractNumId w:val="17"/>
  </w:num>
  <w:num w:numId="36">
    <w:abstractNumId w:val="19"/>
  </w:num>
  <w:num w:numId="37">
    <w:abstractNumId w:val="36"/>
  </w:num>
  <w:num w:numId="38">
    <w:abstractNumId w:val="13"/>
  </w:num>
  <w:num w:numId="39">
    <w:abstractNumId w:val="14"/>
  </w:num>
  <w:num w:numId="40">
    <w:abstractNumId w:val="21"/>
  </w:num>
  <w:num w:numId="4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A20"/>
    <w:rsid w:val="000005AE"/>
    <w:rsid w:val="00006635"/>
    <w:rsid w:val="00010B93"/>
    <w:rsid w:val="000122F0"/>
    <w:rsid w:val="00013142"/>
    <w:rsid w:val="0001351C"/>
    <w:rsid w:val="00023EFD"/>
    <w:rsid w:val="000264F1"/>
    <w:rsid w:val="000277B7"/>
    <w:rsid w:val="00027A15"/>
    <w:rsid w:val="00030386"/>
    <w:rsid w:val="00032EA3"/>
    <w:rsid w:val="00034B73"/>
    <w:rsid w:val="00040776"/>
    <w:rsid w:val="00040877"/>
    <w:rsid w:val="00046543"/>
    <w:rsid w:val="000523BB"/>
    <w:rsid w:val="000534EB"/>
    <w:rsid w:val="00054D5F"/>
    <w:rsid w:val="00056610"/>
    <w:rsid w:val="00056BE3"/>
    <w:rsid w:val="0005780F"/>
    <w:rsid w:val="00061F63"/>
    <w:rsid w:val="0006303F"/>
    <w:rsid w:val="0006380C"/>
    <w:rsid w:val="0007243F"/>
    <w:rsid w:val="00073EAD"/>
    <w:rsid w:val="000741F7"/>
    <w:rsid w:val="000748A0"/>
    <w:rsid w:val="00075E1D"/>
    <w:rsid w:val="0007654A"/>
    <w:rsid w:val="00076838"/>
    <w:rsid w:val="00080AAD"/>
    <w:rsid w:val="00080BF2"/>
    <w:rsid w:val="00080E3D"/>
    <w:rsid w:val="00083993"/>
    <w:rsid w:val="00090A04"/>
    <w:rsid w:val="00090E0D"/>
    <w:rsid w:val="0009127E"/>
    <w:rsid w:val="000916DE"/>
    <w:rsid w:val="00091DE9"/>
    <w:rsid w:val="00093EE9"/>
    <w:rsid w:val="000A2DDB"/>
    <w:rsid w:val="000A719E"/>
    <w:rsid w:val="000B00AE"/>
    <w:rsid w:val="000B0C3F"/>
    <w:rsid w:val="000B1F2E"/>
    <w:rsid w:val="000B2DB4"/>
    <w:rsid w:val="000B5BCE"/>
    <w:rsid w:val="000C07CF"/>
    <w:rsid w:val="000C3306"/>
    <w:rsid w:val="000C3337"/>
    <w:rsid w:val="000C3C3B"/>
    <w:rsid w:val="000C69C1"/>
    <w:rsid w:val="000D3E84"/>
    <w:rsid w:val="000D5FE8"/>
    <w:rsid w:val="000E3F07"/>
    <w:rsid w:val="000E551B"/>
    <w:rsid w:val="000E72F7"/>
    <w:rsid w:val="000F07B9"/>
    <w:rsid w:val="000F19A4"/>
    <w:rsid w:val="000F29D0"/>
    <w:rsid w:val="000F2FD4"/>
    <w:rsid w:val="000F3AF9"/>
    <w:rsid w:val="000F3B93"/>
    <w:rsid w:val="000F60B8"/>
    <w:rsid w:val="000F7D64"/>
    <w:rsid w:val="00103EB8"/>
    <w:rsid w:val="0010444C"/>
    <w:rsid w:val="001047E6"/>
    <w:rsid w:val="001071A0"/>
    <w:rsid w:val="00111580"/>
    <w:rsid w:val="0011363C"/>
    <w:rsid w:val="00120AD2"/>
    <w:rsid w:val="00126930"/>
    <w:rsid w:val="0012764F"/>
    <w:rsid w:val="00130920"/>
    <w:rsid w:val="00132F9F"/>
    <w:rsid w:val="00134A9F"/>
    <w:rsid w:val="0013773A"/>
    <w:rsid w:val="00140E99"/>
    <w:rsid w:val="00141C09"/>
    <w:rsid w:val="00142394"/>
    <w:rsid w:val="00143A38"/>
    <w:rsid w:val="00147901"/>
    <w:rsid w:val="00151BC3"/>
    <w:rsid w:val="00153684"/>
    <w:rsid w:val="00153FA2"/>
    <w:rsid w:val="00154A3E"/>
    <w:rsid w:val="00157E09"/>
    <w:rsid w:val="0016077F"/>
    <w:rsid w:val="00162546"/>
    <w:rsid w:val="00165327"/>
    <w:rsid w:val="00167897"/>
    <w:rsid w:val="00167ED5"/>
    <w:rsid w:val="00171010"/>
    <w:rsid w:val="001742EA"/>
    <w:rsid w:val="001802DB"/>
    <w:rsid w:val="001847D5"/>
    <w:rsid w:val="00190AC0"/>
    <w:rsid w:val="00194677"/>
    <w:rsid w:val="00195096"/>
    <w:rsid w:val="00196B81"/>
    <w:rsid w:val="001A38B3"/>
    <w:rsid w:val="001A5053"/>
    <w:rsid w:val="001B37FA"/>
    <w:rsid w:val="001B3B2F"/>
    <w:rsid w:val="001B7D38"/>
    <w:rsid w:val="001C0EBC"/>
    <w:rsid w:val="001C4507"/>
    <w:rsid w:val="001C636F"/>
    <w:rsid w:val="001C70CF"/>
    <w:rsid w:val="001D2AAA"/>
    <w:rsid w:val="001D4D1B"/>
    <w:rsid w:val="001E0535"/>
    <w:rsid w:val="001E0B65"/>
    <w:rsid w:val="001E1C91"/>
    <w:rsid w:val="001E4F9B"/>
    <w:rsid w:val="001E5EA1"/>
    <w:rsid w:val="001F1F91"/>
    <w:rsid w:val="001F22F0"/>
    <w:rsid w:val="001F2B62"/>
    <w:rsid w:val="001F2BF9"/>
    <w:rsid w:val="00203ABF"/>
    <w:rsid w:val="00206D69"/>
    <w:rsid w:val="00206F36"/>
    <w:rsid w:val="002122FB"/>
    <w:rsid w:val="0021306D"/>
    <w:rsid w:val="00215E2B"/>
    <w:rsid w:val="00220E66"/>
    <w:rsid w:val="00223AED"/>
    <w:rsid w:val="00223F4E"/>
    <w:rsid w:val="002277C9"/>
    <w:rsid w:val="002304EC"/>
    <w:rsid w:val="00240462"/>
    <w:rsid w:val="002426B3"/>
    <w:rsid w:val="00244262"/>
    <w:rsid w:val="00246569"/>
    <w:rsid w:val="002467C3"/>
    <w:rsid w:val="00251DF0"/>
    <w:rsid w:val="002638E1"/>
    <w:rsid w:val="002661EE"/>
    <w:rsid w:val="0027109F"/>
    <w:rsid w:val="00272009"/>
    <w:rsid w:val="00272974"/>
    <w:rsid w:val="00274727"/>
    <w:rsid w:val="00276EB0"/>
    <w:rsid w:val="0027700C"/>
    <w:rsid w:val="002776FD"/>
    <w:rsid w:val="00277B17"/>
    <w:rsid w:val="002842E0"/>
    <w:rsid w:val="00284B06"/>
    <w:rsid w:val="00285867"/>
    <w:rsid w:val="0028675B"/>
    <w:rsid w:val="002919EB"/>
    <w:rsid w:val="002972BD"/>
    <w:rsid w:val="002A09A0"/>
    <w:rsid w:val="002A41BC"/>
    <w:rsid w:val="002A4A0A"/>
    <w:rsid w:val="002A6112"/>
    <w:rsid w:val="002A65A7"/>
    <w:rsid w:val="002B3C52"/>
    <w:rsid w:val="002B40E4"/>
    <w:rsid w:val="002B5CA4"/>
    <w:rsid w:val="002B681F"/>
    <w:rsid w:val="002C06D7"/>
    <w:rsid w:val="002C2DF6"/>
    <w:rsid w:val="002C32B6"/>
    <w:rsid w:val="002C3D1A"/>
    <w:rsid w:val="002C430E"/>
    <w:rsid w:val="002D0AD4"/>
    <w:rsid w:val="002D0E83"/>
    <w:rsid w:val="002D1A92"/>
    <w:rsid w:val="002D23E5"/>
    <w:rsid w:val="002D24F5"/>
    <w:rsid w:val="002D2ECC"/>
    <w:rsid w:val="002D62DA"/>
    <w:rsid w:val="002E034A"/>
    <w:rsid w:val="002E1253"/>
    <w:rsid w:val="002E273A"/>
    <w:rsid w:val="002E3003"/>
    <w:rsid w:val="002E3ACA"/>
    <w:rsid w:val="002E46F3"/>
    <w:rsid w:val="002E78F9"/>
    <w:rsid w:val="002F2280"/>
    <w:rsid w:val="002F2782"/>
    <w:rsid w:val="002F48F9"/>
    <w:rsid w:val="002F6A51"/>
    <w:rsid w:val="002F75B5"/>
    <w:rsid w:val="002F773F"/>
    <w:rsid w:val="002F7DA5"/>
    <w:rsid w:val="00313777"/>
    <w:rsid w:val="0031468E"/>
    <w:rsid w:val="00314CBB"/>
    <w:rsid w:val="0031688E"/>
    <w:rsid w:val="00316C7C"/>
    <w:rsid w:val="00320D6C"/>
    <w:rsid w:val="003210B2"/>
    <w:rsid w:val="003224F9"/>
    <w:rsid w:val="00322B07"/>
    <w:rsid w:val="00323B08"/>
    <w:rsid w:val="00324D7D"/>
    <w:rsid w:val="003263AA"/>
    <w:rsid w:val="00331E74"/>
    <w:rsid w:val="00334EDF"/>
    <w:rsid w:val="00337C6E"/>
    <w:rsid w:val="003400A8"/>
    <w:rsid w:val="00341B39"/>
    <w:rsid w:val="0034371F"/>
    <w:rsid w:val="00345FFA"/>
    <w:rsid w:val="003473E2"/>
    <w:rsid w:val="0035212C"/>
    <w:rsid w:val="00352FA2"/>
    <w:rsid w:val="00354FF5"/>
    <w:rsid w:val="0036072F"/>
    <w:rsid w:val="0036298D"/>
    <w:rsid w:val="003635CD"/>
    <w:rsid w:val="00363912"/>
    <w:rsid w:val="00366CE2"/>
    <w:rsid w:val="00367562"/>
    <w:rsid w:val="00367C3B"/>
    <w:rsid w:val="00370AD1"/>
    <w:rsid w:val="003710C5"/>
    <w:rsid w:val="003715B4"/>
    <w:rsid w:val="00374387"/>
    <w:rsid w:val="00377667"/>
    <w:rsid w:val="00377846"/>
    <w:rsid w:val="00380572"/>
    <w:rsid w:val="003876E3"/>
    <w:rsid w:val="00387CB4"/>
    <w:rsid w:val="00391248"/>
    <w:rsid w:val="00392379"/>
    <w:rsid w:val="00396EB3"/>
    <w:rsid w:val="003A355F"/>
    <w:rsid w:val="003A430B"/>
    <w:rsid w:val="003B302B"/>
    <w:rsid w:val="003C5A11"/>
    <w:rsid w:val="003C6E69"/>
    <w:rsid w:val="003C709A"/>
    <w:rsid w:val="003C7495"/>
    <w:rsid w:val="003D0233"/>
    <w:rsid w:val="003D02FD"/>
    <w:rsid w:val="003D0772"/>
    <w:rsid w:val="003D294C"/>
    <w:rsid w:val="003E032D"/>
    <w:rsid w:val="003E2087"/>
    <w:rsid w:val="003E5D57"/>
    <w:rsid w:val="003E75A4"/>
    <w:rsid w:val="003F2603"/>
    <w:rsid w:val="003F2819"/>
    <w:rsid w:val="003F2E28"/>
    <w:rsid w:val="003F3A6C"/>
    <w:rsid w:val="003F6547"/>
    <w:rsid w:val="003F6D06"/>
    <w:rsid w:val="00400737"/>
    <w:rsid w:val="004069D4"/>
    <w:rsid w:val="00406EF7"/>
    <w:rsid w:val="0041094C"/>
    <w:rsid w:val="00411BB3"/>
    <w:rsid w:val="00415679"/>
    <w:rsid w:val="004252F6"/>
    <w:rsid w:val="0042543F"/>
    <w:rsid w:val="004273D2"/>
    <w:rsid w:val="00430192"/>
    <w:rsid w:val="00430515"/>
    <w:rsid w:val="004329DA"/>
    <w:rsid w:val="00436022"/>
    <w:rsid w:val="00450C0D"/>
    <w:rsid w:val="00452008"/>
    <w:rsid w:val="0045476F"/>
    <w:rsid w:val="00460E9D"/>
    <w:rsid w:val="00461064"/>
    <w:rsid w:val="00463099"/>
    <w:rsid w:val="00465FF7"/>
    <w:rsid w:val="00466D5D"/>
    <w:rsid w:val="00470B09"/>
    <w:rsid w:val="004725EB"/>
    <w:rsid w:val="004731D7"/>
    <w:rsid w:val="004740C6"/>
    <w:rsid w:val="00476222"/>
    <w:rsid w:val="00476EC3"/>
    <w:rsid w:val="004775AD"/>
    <w:rsid w:val="00480E42"/>
    <w:rsid w:val="0048487D"/>
    <w:rsid w:val="0049503A"/>
    <w:rsid w:val="00495F2D"/>
    <w:rsid w:val="00495F7A"/>
    <w:rsid w:val="00496970"/>
    <w:rsid w:val="004974A4"/>
    <w:rsid w:val="004A0E00"/>
    <w:rsid w:val="004A4017"/>
    <w:rsid w:val="004A4BFB"/>
    <w:rsid w:val="004A7299"/>
    <w:rsid w:val="004B7616"/>
    <w:rsid w:val="004C268A"/>
    <w:rsid w:val="004C4F02"/>
    <w:rsid w:val="004C6952"/>
    <w:rsid w:val="004C76E7"/>
    <w:rsid w:val="004D687D"/>
    <w:rsid w:val="004D7DD0"/>
    <w:rsid w:val="004E1152"/>
    <w:rsid w:val="004E5F70"/>
    <w:rsid w:val="004E6604"/>
    <w:rsid w:val="004E70AA"/>
    <w:rsid w:val="004F4106"/>
    <w:rsid w:val="004F4ADA"/>
    <w:rsid w:val="004F4F5B"/>
    <w:rsid w:val="004F5E54"/>
    <w:rsid w:val="004F65B1"/>
    <w:rsid w:val="004F6974"/>
    <w:rsid w:val="004F6DB8"/>
    <w:rsid w:val="00502D52"/>
    <w:rsid w:val="0050545F"/>
    <w:rsid w:val="00505B7A"/>
    <w:rsid w:val="00510E36"/>
    <w:rsid w:val="00517B37"/>
    <w:rsid w:val="00524387"/>
    <w:rsid w:val="00524A4C"/>
    <w:rsid w:val="00533097"/>
    <w:rsid w:val="0053351D"/>
    <w:rsid w:val="005338F0"/>
    <w:rsid w:val="00536CD5"/>
    <w:rsid w:val="0055306B"/>
    <w:rsid w:val="00555220"/>
    <w:rsid w:val="0056050C"/>
    <w:rsid w:val="0056417B"/>
    <w:rsid w:val="0056588A"/>
    <w:rsid w:val="00570B7B"/>
    <w:rsid w:val="00571D3A"/>
    <w:rsid w:val="0057420A"/>
    <w:rsid w:val="0057508A"/>
    <w:rsid w:val="00577842"/>
    <w:rsid w:val="005915DA"/>
    <w:rsid w:val="0059171B"/>
    <w:rsid w:val="00592E32"/>
    <w:rsid w:val="00594582"/>
    <w:rsid w:val="005952DE"/>
    <w:rsid w:val="005968E5"/>
    <w:rsid w:val="005A250B"/>
    <w:rsid w:val="005A3338"/>
    <w:rsid w:val="005A762E"/>
    <w:rsid w:val="005B0641"/>
    <w:rsid w:val="005B16A7"/>
    <w:rsid w:val="005B205B"/>
    <w:rsid w:val="005B46C6"/>
    <w:rsid w:val="005B4A71"/>
    <w:rsid w:val="005B5148"/>
    <w:rsid w:val="005B6ABF"/>
    <w:rsid w:val="005C15A0"/>
    <w:rsid w:val="005C21C9"/>
    <w:rsid w:val="005D2A0B"/>
    <w:rsid w:val="005D4C33"/>
    <w:rsid w:val="005E714F"/>
    <w:rsid w:val="0060017A"/>
    <w:rsid w:val="00600A9A"/>
    <w:rsid w:val="006017CB"/>
    <w:rsid w:val="00615232"/>
    <w:rsid w:val="00617685"/>
    <w:rsid w:val="00617768"/>
    <w:rsid w:val="006212CC"/>
    <w:rsid w:val="0062450B"/>
    <w:rsid w:val="00625D24"/>
    <w:rsid w:val="00626F86"/>
    <w:rsid w:val="006305A3"/>
    <w:rsid w:val="00634A6B"/>
    <w:rsid w:val="00637685"/>
    <w:rsid w:val="00637CAC"/>
    <w:rsid w:val="0064113C"/>
    <w:rsid w:val="00642636"/>
    <w:rsid w:val="006466DF"/>
    <w:rsid w:val="00650216"/>
    <w:rsid w:val="00655A10"/>
    <w:rsid w:val="00661A08"/>
    <w:rsid w:val="00663E1C"/>
    <w:rsid w:val="00664453"/>
    <w:rsid w:val="00664F9C"/>
    <w:rsid w:val="00670E81"/>
    <w:rsid w:val="00672E5D"/>
    <w:rsid w:val="006732B0"/>
    <w:rsid w:val="00675A89"/>
    <w:rsid w:val="00690241"/>
    <w:rsid w:val="00690ACB"/>
    <w:rsid w:val="006955DB"/>
    <w:rsid w:val="00697C90"/>
    <w:rsid w:val="006A0985"/>
    <w:rsid w:val="006A223B"/>
    <w:rsid w:val="006A3AA2"/>
    <w:rsid w:val="006A5867"/>
    <w:rsid w:val="006B4389"/>
    <w:rsid w:val="006B4395"/>
    <w:rsid w:val="006B487B"/>
    <w:rsid w:val="006B4B8A"/>
    <w:rsid w:val="006B5F6B"/>
    <w:rsid w:val="006B684E"/>
    <w:rsid w:val="006C0D93"/>
    <w:rsid w:val="006C18CA"/>
    <w:rsid w:val="006C275E"/>
    <w:rsid w:val="006C3652"/>
    <w:rsid w:val="006C4269"/>
    <w:rsid w:val="006C5817"/>
    <w:rsid w:val="006D036D"/>
    <w:rsid w:val="006D06FF"/>
    <w:rsid w:val="006D0A33"/>
    <w:rsid w:val="006E0A3E"/>
    <w:rsid w:val="006E0D8C"/>
    <w:rsid w:val="006E2EDF"/>
    <w:rsid w:val="006E36D6"/>
    <w:rsid w:val="006F2E5A"/>
    <w:rsid w:val="006F366A"/>
    <w:rsid w:val="006F386A"/>
    <w:rsid w:val="006F4042"/>
    <w:rsid w:val="006F64FA"/>
    <w:rsid w:val="00702FB1"/>
    <w:rsid w:val="00703E62"/>
    <w:rsid w:val="007043C5"/>
    <w:rsid w:val="007121DF"/>
    <w:rsid w:val="0071413D"/>
    <w:rsid w:val="0072234C"/>
    <w:rsid w:val="007230FE"/>
    <w:rsid w:val="00732736"/>
    <w:rsid w:val="00733565"/>
    <w:rsid w:val="00735BE1"/>
    <w:rsid w:val="00735E52"/>
    <w:rsid w:val="00737F64"/>
    <w:rsid w:val="00741537"/>
    <w:rsid w:val="00741D96"/>
    <w:rsid w:val="00745601"/>
    <w:rsid w:val="00747369"/>
    <w:rsid w:val="00747CFA"/>
    <w:rsid w:val="0075042C"/>
    <w:rsid w:val="007513F7"/>
    <w:rsid w:val="007521AC"/>
    <w:rsid w:val="00756FE7"/>
    <w:rsid w:val="00757E73"/>
    <w:rsid w:val="00761B03"/>
    <w:rsid w:val="00766223"/>
    <w:rsid w:val="00766E2D"/>
    <w:rsid w:val="00773512"/>
    <w:rsid w:val="0077472B"/>
    <w:rsid w:val="00775DE5"/>
    <w:rsid w:val="007760D3"/>
    <w:rsid w:val="00776E5D"/>
    <w:rsid w:val="00780B9A"/>
    <w:rsid w:val="00783826"/>
    <w:rsid w:val="00784424"/>
    <w:rsid w:val="007848A9"/>
    <w:rsid w:val="00787387"/>
    <w:rsid w:val="00792216"/>
    <w:rsid w:val="0079492D"/>
    <w:rsid w:val="00794FE5"/>
    <w:rsid w:val="007A11B7"/>
    <w:rsid w:val="007A33B4"/>
    <w:rsid w:val="007A61FE"/>
    <w:rsid w:val="007A6A8C"/>
    <w:rsid w:val="007B11C9"/>
    <w:rsid w:val="007B169A"/>
    <w:rsid w:val="007B2514"/>
    <w:rsid w:val="007B43C1"/>
    <w:rsid w:val="007B43EC"/>
    <w:rsid w:val="007B5EF5"/>
    <w:rsid w:val="007C0297"/>
    <w:rsid w:val="007C06F1"/>
    <w:rsid w:val="007C0817"/>
    <w:rsid w:val="007C29F8"/>
    <w:rsid w:val="007C4197"/>
    <w:rsid w:val="007D29D2"/>
    <w:rsid w:val="007E0177"/>
    <w:rsid w:val="007E13DF"/>
    <w:rsid w:val="007E36B9"/>
    <w:rsid w:val="007E3AFB"/>
    <w:rsid w:val="007E44C5"/>
    <w:rsid w:val="007E7795"/>
    <w:rsid w:val="007E7BDA"/>
    <w:rsid w:val="007F49F5"/>
    <w:rsid w:val="007F6A3B"/>
    <w:rsid w:val="00802756"/>
    <w:rsid w:val="00803058"/>
    <w:rsid w:val="00805774"/>
    <w:rsid w:val="00821453"/>
    <w:rsid w:val="0082616A"/>
    <w:rsid w:val="00833DD3"/>
    <w:rsid w:val="00833EB0"/>
    <w:rsid w:val="00837881"/>
    <w:rsid w:val="0084056C"/>
    <w:rsid w:val="00840EA8"/>
    <w:rsid w:val="00844212"/>
    <w:rsid w:val="00844740"/>
    <w:rsid w:val="008451DA"/>
    <w:rsid w:val="008522BC"/>
    <w:rsid w:val="0086029A"/>
    <w:rsid w:val="00860750"/>
    <w:rsid w:val="00860D96"/>
    <w:rsid w:val="00874BA6"/>
    <w:rsid w:val="008812F4"/>
    <w:rsid w:val="008844EF"/>
    <w:rsid w:val="008958BC"/>
    <w:rsid w:val="00896F56"/>
    <w:rsid w:val="008A1CC0"/>
    <w:rsid w:val="008A3B22"/>
    <w:rsid w:val="008B09B6"/>
    <w:rsid w:val="008B4339"/>
    <w:rsid w:val="008B6D07"/>
    <w:rsid w:val="008C1419"/>
    <w:rsid w:val="008C1D88"/>
    <w:rsid w:val="008C440E"/>
    <w:rsid w:val="008C5F6D"/>
    <w:rsid w:val="008C7233"/>
    <w:rsid w:val="008D27DA"/>
    <w:rsid w:val="008D296F"/>
    <w:rsid w:val="008D3955"/>
    <w:rsid w:val="008D51F8"/>
    <w:rsid w:val="008D7886"/>
    <w:rsid w:val="008E00C5"/>
    <w:rsid w:val="008E47CB"/>
    <w:rsid w:val="008E5035"/>
    <w:rsid w:val="008E5B89"/>
    <w:rsid w:val="008E7903"/>
    <w:rsid w:val="008F1501"/>
    <w:rsid w:val="008F5E5E"/>
    <w:rsid w:val="008F7835"/>
    <w:rsid w:val="00901363"/>
    <w:rsid w:val="00901D4B"/>
    <w:rsid w:val="0090330D"/>
    <w:rsid w:val="0090399F"/>
    <w:rsid w:val="0091123E"/>
    <w:rsid w:val="0091439C"/>
    <w:rsid w:val="00915AC9"/>
    <w:rsid w:val="00922528"/>
    <w:rsid w:val="00927923"/>
    <w:rsid w:val="00931183"/>
    <w:rsid w:val="00943246"/>
    <w:rsid w:val="00943AE5"/>
    <w:rsid w:val="00943BC8"/>
    <w:rsid w:val="009459D0"/>
    <w:rsid w:val="00952477"/>
    <w:rsid w:val="00952ADD"/>
    <w:rsid w:val="00952C06"/>
    <w:rsid w:val="009533A2"/>
    <w:rsid w:val="00962E42"/>
    <w:rsid w:val="009661B3"/>
    <w:rsid w:val="0096780A"/>
    <w:rsid w:val="00974A41"/>
    <w:rsid w:val="00980A71"/>
    <w:rsid w:val="00982998"/>
    <w:rsid w:val="00983E04"/>
    <w:rsid w:val="00992713"/>
    <w:rsid w:val="00992BD2"/>
    <w:rsid w:val="009A2F61"/>
    <w:rsid w:val="009A36DF"/>
    <w:rsid w:val="009A3953"/>
    <w:rsid w:val="009A6FAA"/>
    <w:rsid w:val="009B00A9"/>
    <w:rsid w:val="009B1CD5"/>
    <w:rsid w:val="009B3C87"/>
    <w:rsid w:val="009B5E58"/>
    <w:rsid w:val="009B6A21"/>
    <w:rsid w:val="009B7B9E"/>
    <w:rsid w:val="009C10D6"/>
    <w:rsid w:val="009C3B47"/>
    <w:rsid w:val="009C4758"/>
    <w:rsid w:val="009C48D1"/>
    <w:rsid w:val="009C5EEF"/>
    <w:rsid w:val="009C7060"/>
    <w:rsid w:val="009D02FB"/>
    <w:rsid w:val="009D174E"/>
    <w:rsid w:val="009D1FFF"/>
    <w:rsid w:val="009E008F"/>
    <w:rsid w:val="009E0694"/>
    <w:rsid w:val="009E3A53"/>
    <w:rsid w:val="009E4A37"/>
    <w:rsid w:val="009E55B7"/>
    <w:rsid w:val="009E5D84"/>
    <w:rsid w:val="009F0832"/>
    <w:rsid w:val="009F1013"/>
    <w:rsid w:val="009F1397"/>
    <w:rsid w:val="009F21B5"/>
    <w:rsid w:val="009F38DA"/>
    <w:rsid w:val="009F421B"/>
    <w:rsid w:val="009F64F7"/>
    <w:rsid w:val="00A0117B"/>
    <w:rsid w:val="00A0250B"/>
    <w:rsid w:val="00A03576"/>
    <w:rsid w:val="00A07917"/>
    <w:rsid w:val="00A12E9D"/>
    <w:rsid w:val="00A133D7"/>
    <w:rsid w:val="00A13983"/>
    <w:rsid w:val="00A139D6"/>
    <w:rsid w:val="00A14572"/>
    <w:rsid w:val="00A15972"/>
    <w:rsid w:val="00A17486"/>
    <w:rsid w:val="00A21F6E"/>
    <w:rsid w:val="00A23406"/>
    <w:rsid w:val="00A24259"/>
    <w:rsid w:val="00A26A3D"/>
    <w:rsid w:val="00A26BF0"/>
    <w:rsid w:val="00A27481"/>
    <w:rsid w:val="00A27CA1"/>
    <w:rsid w:val="00A40111"/>
    <w:rsid w:val="00A41760"/>
    <w:rsid w:val="00A54227"/>
    <w:rsid w:val="00A57DBF"/>
    <w:rsid w:val="00A60EDA"/>
    <w:rsid w:val="00A625C7"/>
    <w:rsid w:val="00A63969"/>
    <w:rsid w:val="00A643E7"/>
    <w:rsid w:val="00A6453E"/>
    <w:rsid w:val="00A650F9"/>
    <w:rsid w:val="00A673EE"/>
    <w:rsid w:val="00A74315"/>
    <w:rsid w:val="00A77082"/>
    <w:rsid w:val="00A82343"/>
    <w:rsid w:val="00A9176A"/>
    <w:rsid w:val="00A92981"/>
    <w:rsid w:val="00A945EE"/>
    <w:rsid w:val="00A97991"/>
    <w:rsid w:val="00AA193C"/>
    <w:rsid w:val="00AA28B1"/>
    <w:rsid w:val="00AA394F"/>
    <w:rsid w:val="00AA7D1E"/>
    <w:rsid w:val="00AB0C90"/>
    <w:rsid w:val="00AB35B8"/>
    <w:rsid w:val="00AB40CC"/>
    <w:rsid w:val="00AC16F3"/>
    <w:rsid w:val="00AC2363"/>
    <w:rsid w:val="00AC699A"/>
    <w:rsid w:val="00AD0914"/>
    <w:rsid w:val="00AD2877"/>
    <w:rsid w:val="00AD309C"/>
    <w:rsid w:val="00AD6E6A"/>
    <w:rsid w:val="00AE091F"/>
    <w:rsid w:val="00AE3369"/>
    <w:rsid w:val="00AE7CF3"/>
    <w:rsid w:val="00AF0455"/>
    <w:rsid w:val="00AF2459"/>
    <w:rsid w:val="00AF314E"/>
    <w:rsid w:val="00B0516D"/>
    <w:rsid w:val="00B1018D"/>
    <w:rsid w:val="00B1039F"/>
    <w:rsid w:val="00B13225"/>
    <w:rsid w:val="00B13701"/>
    <w:rsid w:val="00B13DC7"/>
    <w:rsid w:val="00B14F42"/>
    <w:rsid w:val="00B173CB"/>
    <w:rsid w:val="00B178B8"/>
    <w:rsid w:val="00B21B37"/>
    <w:rsid w:val="00B317F8"/>
    <w:rsid w:val="00B318A0"/>
    <w:rsid w:val="00B31FFD"/>
    <w:rsid w:val="00B32764"/>
    <w:rsid w:val="00B3383E"/>
    <w:rsid w:val="00B33B24"/>
    <w:rsid w:val="00B34729"/>
    <w:rsid w:val="00B36B92"/>
    <w:rsid w:val="00B40E64"/>
    <w:rsid w:val="00B45818"/>
    <w:rsid w:val="00B45C51"/>
    <w:rsid w:val="00B55DD7"/>
    <w:rsid w:val="00B71159"/>
    <w:rsid w:val="00B72F36"/>
    <w:rsid w:val="00B730E3"/>
    <w:rsid w:val="00B73B1C"/>
    <w:rsid w:val="00B73CD9"/>
    <w:rsid w:val="00B74575"/>
    <w:rsid w:val="00B74C9A"/>
    <w:rsid w:val="00B75DCE"/>
    <w:rsid w:val="00B80C00"/>
    <w:rsid w:val="00B906CC"/>
    <w:rsid w:val="00B90D93"/>
    <w:rsid w:val="00B910C9"/>
    <w:rsid w:val="00B91E25"/>
    <w:rsid w:val="00B93398"/>
    <w:rsid w:val="00B938BB"/>
    <w:rsid w:val="00B96126"/>
    <w:rsid w:val="00B9639F"/>
    <w:rsid w:val="00BA1EDD"/>
    <w:rsid w:val="00BA560A"/>
    <w:rsid w:val="00BB2AA7"/>
    <w:rsid w:val="00BB2F0B"/>
    <w:rsid w:val="00BB52B2"/>
    <w:rsid w:val="00BC3B92"/>
    <w:rsid w:val="00BC44BD"/>
    <w:rsid w:val="00BC542A"/>
    <w:rsid w:val="00BC5469"/>
    <w:rsid w:val="00BD1405"/>
    <w:rsid w:val="00BD1800"/>
    <w:rsid w:val="00BD46D3"/>
    <w:rsid w:val="00BD47E1"/>
    <w:rsid w:val="00BE2DF6"/>
    <w:rsid w:val="00BE5D57"/>
    <w:rsid w:val="00BF05E5"/>
    <w:rsid w:val="00BF0A42"/>
    <w:rsid w:val="00BF0F0F"/>
    <w:rsid w:val="00BF3993"/>
    <w:rsid w:val="00BF6111"/>
    <w:rsid w:val="00BF6677"/>
    <w:rsid w:val="00C0260D"/>
    <w:rsid w:val="00C03E30"/>
    <w:rsid w:val="00C0662C"/>
    <w:rsid w:val="00C07193"/>
    <w:rsid w:val="00C11B0B"/>
    <w:rsid w:val="00C13014"/>
    <w:rsid w:val="00C1523E"/>
    <w:rsid w:val="00C153B5"/>
    <w:rsid w:val="00C167EC"/>
    <w:rsid w:val="00C2367A"/>
    <w:rsid w:val="00C25FBE"/>
    <w:rsid w:val="00C269C0"/>
    <w:rsid w:val="00C401A7"/>
    <w:rsid w:val="00C4029A"/>
    <w:rsid w:val="00C41018"/>
    <w:rsid w:val="00C46B5E"/>
    <w:rsid w:val="00C5548F"/>
    <w:rsid w:val="00C56735"/>
    <w:rsid w:val="00C60E9E"/>
    <w:rsid w:val="00C648FD"/>
    <w:rsid w:val="00C674FF"/>
    <w:rsid w:val="00C73657"/>
    <w:rsid w:val="00C73781"/>
    <w:rsid w:val="00C73B2F"/>
    <w:rsid w:val="00C85A72"/>
    <w:rsid w:val="00CB4AB9"/>
    <w:rsid w:val="00CB5827"/>
    <w:rsid w:val="00CB6770"/>
    <w:rsid w:val="00CB786F"/>
    <w:rsid w:val="00CC0249"/>
    <w:rsid w:val="00CC4EF9"/>
    <w:rsid w:val="00CC77A8"/>
    <w:rsid w:val="00CD7A6F"/>
    <w:rsid w:val="00CE0462"/>
    <w:rsid w:val="00CE6C55"/>
    <w:rsid w:val="00CF47BB"/>
    <w:rsid w:val="00CF5B1C"/>
    <w:rsid w:val="00CF6A14"/>
    <w:rsid w:val="00D015BD"/>
    <w:rsid w:val="00D01DC6"/>
    <w:rsid w:val="00D02A40"/>
    <w:rsid w:val="00D1199D"/>
    <w:rsid w:val="00D144BE"/>
    <w:rsid w:val="00D17832"/>
    <w:rsid w:val="00D27BD2"/>
    <w:rsid w:val="00D3183C"/>
    <w:rsid w:val="00D323C9"/>
    <w:rsid w:val="00D3303A"/>
    <w:rsid w:val="00D340A3"/>
    <w:rsid w:val="00D36F75"/>
    <w:rsid w:val="00D37869"/>
    <w:rsid w:val="00D44A1D"/>
    <w:rsid w:val="00D45D1D"/>
    <w:rsid w:val="00D525AA"/>
    <w:rsid w:val="00D5429A"/>
    <w:rsid w:val="00D54794"/>
    <w:rsid w:val="00D63EFE"/>
    <w:rsid w:val="00D727CB"/>
    <w:rsid w:val="00D72D53"/>
    <w:rsid w:val="00D746D3"/>
    <w:rsid w:val="00D75866"/>
    <w:rsid w:val="00D767CA"/>
    <w:rsid w:val="00D77430"/>
    <w:rsid w:val="00D81954"/>
    <w:rsid w:val="00D81B60"/>
    <w:rsid w:val="00D828B5"/>
    <w:rsid w:val="00D83238"/>
    <w:rsid w:val="00D835F3"/>
    <w:rsid w:val="00D861F0"/>
    <w:rsid w:val="00D86910"/>
    <w:rsid w:val="00D97503"/>
    <w:rsid w:val="00DA0C6B"/>
    <w:rsid w:val="00DA355B"/>
    <w:rsid w:val="00DA4475"/>
    <w:rsid w:val="00DB4E44"/>
    <w:rsid w:val="00DB5551"/>
    <w:rsid w:val="00DB6341"/>
    <w:rsid w:val="00DC4598"/>
    <w:rsid w:val="00DC465B"/>
    <w:rsid w:val="00DC56D4"/>
    <w:rsid w:val="00DD0EE1"/>
    <w:rsid w:val="00DD457A"/>
    <w:rsid w:val="00DD5BB3"/>
    <w:rsid w:val="00DE28DA"/>
    <w:rsid w:val="00DE2BCB"/>
    <w:rsid w:val="00DE531D"/>
    <w:rsid w:val="00DF3B38"/>
    <w:rsid w:val="00DF643A"/>
    <w:rsid w:val="00DF6871"/>
    <w:rsid w:val="00DF6CA3"/>
    <w:rsid w:val="00E00BDC"/>
    <w:rsid w:val="00E040B1"/>
    <w:rsid w:val="00E05C53"/>
    <w:rsid w:val="00E115EC"/>
    <w:rsid w:val="00E11EF9"/>
    <w:rsid w:val="00E12B00"/>
    <w:rsid w:val="00E1503F"/>
    <w:rsid w:val="00E176D7"/>
    <w:rsid w:val="00E208EE"/>
    <w:rsid w:val="00E26379"/>
    <w:rsid w:val="00E26FA7"/>
    <w:rsid w:val="00E27927"/>
    <w:rsid w:val="00E27E29"/>
    <w:rsid w:val="00E30A20"/>
    <w:rsid w:val="00E340CD"/>
    <w:rsid w:val="00E34F1D"/>
    <w:rsid w:val="00E352ED"/>
    <w:rsid w:val="00E37A4B"/>
    <w:rsid w:val="00E44401"/>
    <w:rsid w:val="00E536DC"/>
    <w:rsid w:val="00E5579B"/>
    <w:rsid w:val="00E57E27"/>
    <w:rsid w:val="00E6093D"/>
    <w:rsid w:val="00E60B16"/>
    <w:rsid w:val="00E63F73"/>
    <w:rsid w:val="00E72EAA"/>
    <w:rsid w:val="00E833B0"/>
    <w:rsid w:val="00E83D4D"/>
    <w:rsid w:val="00E83F08"/>
    <w:rsid w:val="00E84C49"/>
    <w:rsid w:val="00E92ADA"/>
    <w:rsid w:val="00E92B48"/>
    <w:rsid w:val="00E92BD2"/>
    <w:rsid w:val="00E936BB"/>
    <w:rsid w:val="00E95D7C"/>
    <w:rsid w:val="00E9727A"/>
    <w:rsid w:val="00EA00A5"/>
    <w:rsid w:val="00EA075A"/>
    <w:rsid w:val="00EA0AD2"/>
    <w:rsid w:val="00EA238F"/>
    <w:rsid w:val="00EA2890"/>
    <w:rsid w:val="00EA633C"/>
    <w:rsid w:val="00EB759B"/>
    <w:rsid w:val="00EC173B"/>
    <w:rsid w:val="00EC189F"/>
    <w:rsid w:val="00EE2FE9"/>
    <w:rsid w:val="00EE3440"/>
    <w:rsid w:val="00EE4059"/>
    <w:rsid w:val="00EE60D2"/>
    <w:rsid w:val="00EF3372"/>
    <w:rsid w:val="00EF7986"/>
    <w:rsid w:val="00F013C2"/>
    <w:rsid w:val="00F038D1"/>
    <w:rsid w:val="00F04129"/>
    <w:rsid w:val="00F0618E"/>
    <w:rsid w:val="00F106EB"/>
    <w:rsid w:val="00F124EE"/>
    <w:rsid w:val="00F12E5F"/>
    <w:rsid w:val="00F13BCD"/>
    <w:rsid w:val="00F20211"/>
    <w:rsid w:val="00F207A0"/>
    <w:rsid w:val="00F22ED4"/>
    <w:rsid w:val="00F2412E"/>
    <w:rsid w:val="00F241A7"/>
    <w:rsid w:val="00F266A6"/>
    <w:rsid w:val="00F27828"/>
    <w:rsid w:val="00F30F07"/>
    <w:rsid w:val="00F33BA0"/>
    <w:rsid w:val="00F34A99"/>
    <w:rsid w:val="00F35B3D"/>
    <w:rsid w:val="00F4127E"/>
    <w:rsid w:val="00F41D4F"/>
    <w:rsid w:val="00F42EE6"/>
    <w:rsid w:val="00F43625"/>
    <w:rsid w:val="00F47B30"/>
    <w:rsid w:val="00F52326"/>
    <w:rsid w:val="00F52605"/>
    <w:rsid w:val="00F52893"/>
    <w:rsid w:val="00F540F0"/>
    <w:rsid w:val="00F575FD"/>
    <w:rsid w:val="00F57758"/>
    <w:rsid w:val="00F6443B"/>
    <w:rsid w:val="00F65FE9"/>
    <w:rsid w:val="00F66B00"/>
    <w:rsid w:val="00F676F7"/>
    <w:rsid w:val="00F67DAA"/>
    <w:rsid w:val="00F701CE"/>
    <w:rsid w:val="00F76517"/>
    <w:rsid w:val="00F7701E"/>
    <w:rsid w:val="00F8057A"/>
    <w:rsid w:val="00F81C53"/>
    <w:rsid w:val="00F83314"/>
    <w:rsid w:val="00F84DAA"/>
    <w:rsid w:val="00F87011"/>
    <w:rsid w:val="00F90C49"/>
    <w:rsid w:val="00F94D4E"/>
    <w:rsid w:val="00F94F2A"/>
    <w:rsid w:val="00F954BD"/>
    <w:rsid w:val="00F96D83"/>
    <w:rsid w:val="00FB003A"/>
    <w:rsid w:val="00FB1310"/>
    <w:rsid w:val="00FB7BAF"/>
    <w:rsid w:val="00FD11E1"/>
    <w:rsid w:val="00FD4607"/>
    <w:rsid w:val="00FE1B81"/>
    <w:rsid w:val="00FE2F32"/>
    <w:rsid w:val="00FE41C7"/>
    <w:rsid w:val="00FF026F"/>
    <w:rsid w:val="00FF1DB4"/>
    <w:rsid w:val="00FF59F5"/>
    <w:rsid w:val="00FF79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Arial"/>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CE0462"/>
    <w:pPr>
      <w:spacing w:after="200" w:line="276" w:lineRule="auto"/>
    </w:pPr>
    <w:rPr>
      <w:color w:val="FFFFFF"/>
      <w:kern w:val="32"/>
      <w:lang w:val="en-US" w:eastAsia="en-US"/>
    </w:rPr>
  </w:style>
  <w:style w:type="paragraph" w:styleId="Heading1">
    <w:name w:val="heading 1"/>
    <w:basedOn w:val="Normal"/>
    <w:next w:val="Normal"/>
    <w:link w:val="Heading1Char"/>
    <w:uiPriority w:val="99"/>
    <w:qFormat/>
    <w:rsid w:val="00E30A20"/>
    <w:pPr>
      <w:keepNext/>
      <w:spacing w:after="0" w:line="240" w:lineRule="auto"/>
      <w:outlineLvl w:val="0"/>
    </w:pPr>
    <w:rPr>
      <w:rFonts w:ascii="Times New Roman" w:eastAsia="Times New Roman" w:hAnsi="Times New Roman" w:cs="Times New Roman"/>
      <w:color w:val="auto"/>
      <w:kern w:val="0"/>
      <w:sz w:val="24"/>
      <w:szCs w:val="24"/>
      <w:u w:val="single"/>
    </w:rPr>
  </w:style>
  <w:style w:type="paragraph" w:styleId="Heading2">
    <w:name w:val="heading 2"/>
    <w:basedOn w:val="Normal"/>
    <w:next w:val="Normal"/>
    <w:link w:val="Heading2Char"/>
    <w:uiPriority w:val="99"/>
    <w:qFormat/>
    <w:rsid w:val="00E30A20"/>
    <w:pPr>
      <w:keepNext/>
      <w:spacing w:after="0" w:line="240" w:lineRule="auto"/>
      <w:outlineLvl w:val="1"/>
    </w:pPr>
    <w:rPr>
      <w:rFonts w:ascii="Times New Roman" w:eastAsia="Times New Roman" w:hAnsi="Times New Roman" w:cs="Times New Roman"/>
      <w:i/>
      <w:iCs/>
      <w:color w:val="auto"/>
      <w:kern w:val="0"/>
      <w:sz w:val="24"/>
      <w:szCs w:val="24"/>
    </w:rPr>
  </w:style>
  <w:style w:type="paragraph" w:styleId="Heading3">
    <w:name w:val="heading 3"/>
    <w:basedOn w:val="Normal"/>
    <w:next w:val="Normal"/>
    <w:link w:val="Heading3Char"/>
    <w:uiPriority w:val="99"/>
    <w:qFormat/>
    <w:rsid w:val="00E30A20"/>
    <w:pPr>
      <w:keepNext/>
      <w:spacing w:after="0" w:line="240" w:lineRule="auto"/>
      <w:outlineLvl w:val="2"/>
    </w:pPr>
    <w:rPr>
      <w:rFonts w:ascii="Times New Roman" w:eastAsia="Times New Roman" w:hAnsi="Times New Roman" w:cs="Times New Roman"/>
      <w:color w:val="auto"/>
      <w:kern w:val="0"/>
      <w:sz w:val="24"/>
      <w:szCs w:val="24"/>
    </w:rPr>
  </w:style>
  <w:style w:type="paragraph" w:styleId="Heading4">
    <w:name w:val="heading 4"/>
    <w:basedOn w:val="Normal"/>
    <w:next w:val="Normal"/>
    <w:link w:val="Heading4Char"/>
    <w:uiPriority w:val="99"/>
    <w:qFormat/>
    <w:rsid w:val="00E30A2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cs="Times New Roman"/>
      <w:smallCaps/>
      <w:kern w:val="0"/>
      <w:sz w:val="24"/>
      <w:szCs w:val="24"/>
    </w:rPr>
  </w:style>
  <w:style w:type="paragraph" w:styleId="Heading5">
    <w:name w:val="heading 5"/>
    <w:basedOn w:val="Normal"/>
    <w:next w:val="Normal"/>
    <w:link w:val="Heading5Char"/>
    <w:uiPriority w:val="99"/>
    <w:qFormat/>
    <w:rsid w:val="00E30A20"/>
    <w:pPr>
      <w:keepNext/>
      <w:spacing w:after="0" w:line="240" w:lineRule="auto"/>
      <w:ind w:left="720"/>
      <w:outlineLvl w:val="4"/>
    </w:pPr>
    <w:rPr>
      <w:rFonts w:ascii="Times New Roman" w:eastAsia="Times New Roman" w:hAnsi="Times New Roman" w:cs="Times New Roman"/>
      <w:color w:val="auto"/>
      <w:kern w:val="0"/>
      <w:sz w:val="24"/>
      <w:szCs w:val="24"/>
    </w:rPr>
  </w:style>
  <w:style w:type="paragraph" w:styleId="Heading6">
    <w:name w:val="heading 6"/>
    <w:basedOn w:val="Normal"/>
    <w:next w:val="Normal"/>
    <w:link w:val="Heading6Char"/>
    <w:uiPriority w:val="99"/>
    <w:qFormat/>
    <w:rsid w:val="00E30A20"/>
    <w:pPr>
      <w:keepNext/>
      <w:spacing w:after="0" w:line="240" w:lineRule="auto"/>
      <w:ind w:left="360"/>
      <w:outlineLvl w:val="5"/>
    </w:pPr>
    <w:rPr>
      <w:rFonts w:ascii="Times New Roman" w:eastAsia="Times New Roman" w:hAnsi="Times New Roman" w:cs="Times New Roman"/>
      <w:smallCaps/>
      <w:color w:val="auto"/>
      <w:kern w:val="0"/>
      <w:sz w:val="24"/>
      <w:szCs w:val="24"/>
    </w:rPr>
  </w:style>
  <w:style w:type="paragraph" w:styleId="Heading7">
    <w:name w:val="heading 7"/>
    <w:basedOn w:val="Normal"/>
    <w:next w:val="Normal"/>
    <w:link w:val="Heading7Char"/>
    <w:uiPriority w:val="99"/>
    <w:qFormat/>
    <w:rsid w:val="00E30A20"/>
    <w:pPr>
      <w:keepNext/>
      <w:spacing w:after="0" w:line="240" w:lineRule="auto"/>
      <w:outlineLvl w:val="6"/>
    </w:pPr>
    <w:rPr>
      <w:rFonts w:ascii="Times New Roman" w:eastAsia="Times New Roman" w:hAnsi="Times New Roman" w:cs="Times New Roman"/>
      <w:color w:val="auto"/>
      <w:kern w:val="0"/>
      <w:sz w:val="20"/>
      <w:szCs w:val="24"/>
    </w:rPr>
  </w:style>
  <w:style w:type="paragraph" w:styleId="Heading8">
    <w:name w:val="heading 8"/>
    <w:basedOn w:val="Normal"/>
    <w:next w:val="Normal"/>
    <w:link w:val="Heading8Char"/>
    <w:uiPriority w:val="99"/>
    <w:qFormat/>
    <w:rsid w:val="00E30A20"/>
    <w:pPr>
      <w:keepNext/>
      <w:spacing w:after="0" w:line="240" w:lineRule="auto"/>
      <w:jc w:val="center"/>
      <w:outlineLvl w:val="7"/>
    </w:pPr>
    <w:rPr>
      <w:rFonts w:ascii="Times New Roman" w:eastAsia="Times New Roman" w:hAnsi="Times New Roman" w:cs="Times New Roman"/>
      <w:color w:val="auto"/>
      <w:kern w:val="0"/>
      <w:sz w:val="20"/>
      <w:szCs w:val="24"/>
    </w:rPr>
  </w:style>
  <w:style w:type="paragraph" w:styleId="Heading9">
    <w:name w:val="heading 9"/>
    <w:basedOn w:val="Normal"/>
    <w:next w:val="Normal"/>
    <w:link w:val="Heading9Char"/>
    <w:uiPriority w:val="99"/>
    <w:qFormat/>
    <w:rsid w:val="00E30A20"/>
    <w:pPr>
      <w:keepNext/>
      <w:framePr w:w="3801" w:h="4681" w:hSpace="180" w:wrap="around" w:vAnchor="text" w:hAnchor="page" w:x="7141" w:y="1441"/>
      <w:spacing w:after="0" w:line="240" w:lineRule="auto"/>
      <w:outlineLvl w:val="8"/>
    </w:pPr>
    <w:rPr>
      <w:rFonts w:ascii="Times New Roman" w:eastAsia="Times New Roman" w:hAnsi="Times New Roman" w:cs="Times New Roman"/>
      <w:color w:val="auto"/>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0A20"/>
    <w:rPr>
      <w:rFonts w:ascii="Times New Roman" w:hAnsi="Times New Roman" w:cs="Times New Roman"/>
      <w:color w:val="auto"/>
      <w:kern w:val="0"/>
      <w:sz w:val="24"/>
      <w:szCs w:val="24"/>
      <w:u w:val="single"/>
    </w:rPr>
  </w:style>
  <w:style w:type="character" w:customStyle="1" w:styleId="Heading2Char">
    <w:name w:val="Heading 2 Char"/>
    <w:basedOn w:val="DefaultParagraphFont"/>
    <w:link w:val="Heading2"/>
    <w:uiPriority w:val="99"/>
    <w:locked/>
    <w:rsid w:val="00E30A20"/>
    <w:rPr>
      <w:rFonts w:ascii="Times New Roman" w:hAnsi="Times New Roman" w:cs="Times New Roman"/>
      <w:i/>
      <w:iCs/>
      <w:color w:val="auto"/>
      <w:kern w:val="0"/>
      <w:sz w:val="24"/>
      <w:szCs w:val="24"/>
    </w:rPr>
  </w:style>
  <w:style w:type="character" w:customStyle="1" w:styleId="Heading3Char">
    <w:name w:val="Heading 3 Char"/>
    <w:basedOn w:val="DefaultParagraphFont"/>
    <w:link w:val="Heading3"/>
    <w:uiPriority w:val="99"/>
    <w:locked/>
    <w:rsid w:val="00E30A20"/>
    <w:rPr>
      <w:rFonts w:ascii="Times New Roman" w:hAnsi="Times New Roman" w:cs="Times New Roman"/>
      <w:color w:val="auto"/>
      <w:kern w:val="0"/>
      <w:sz w:val="24"/>
      <w:szCs w:val="24"/>
    </w:rPr>
  </w:style>
  <w:style w:type="character" w:customStyle="1" w:styleId="Heading4Char">
    <w:name w:val="Heading 4 Char"/>
    <w:basedOn w:val="DefaultParagraphFont"/>
    <w:link w:val="Heading4"/>
    <w:uiPriority w:val="99"/>
    <w:locked/>
    <w:rsid w:val="00E30A20"/>
    <w:rPr>
      <w:rFonts w:ascii="Times New Roman Bold" w:hAnsi="Times New Roman Bold" w:cs="Times New Roman"/>
      <w:smallCaps/>
      <w:color w:val="FFFFFF"/>
      <w:kern w:val="0"/>
      <w:sz w:val="24"/>
      <w:szCs w:val="24"/>
      <w:shd w:val="clear" w:color="auto" w:fill="595959"/>
    </w:rPr>
  </w:style>
  <w:style w:type="character" w:customStyle="1" w:styleId="Heading5Char">
    <w:name w:val="Heading 5 Char"/>
    <w:basedOn w:val="DefaultParagraphFont"/>
    <w:link w:val="Heading5"/>
    <w:uiPriority w:val="99"/>
    <w:locked/>
    <w:rsid w:val="00E30A20"/>
    <w:rPr>
      <w:rFonts w:ascii="Times New Roman" w:hAnsi="Times New Roman" w:cs="Times New Roman"/>
      <w:color w:val="auto"/>
      <w:kern w:val="0"/>
      <w:sz w:val="24"/>
      <w:szCs w:val="24"/>
    </w:rPr>
  </w:style>
  <w:style w:type="character" w:customStyle="1" w:styleId="Heading6Char">
    <w:name w:val="Heading 6 Char"/>
    <w:basedOn w:val="DefaultParagraphFont"/>
    <w:link w:val="Heading6"/>
    <w:uiPriority w:val="99"/>
    <w:locked/>
    <w:rsid w:val="00E30A20"/>
    <w:rPr>
      <w:rFonts w:ascii="Times New Roman" w:hAnsi="Times New Roman" w:cs="Times New Roman"/>
      <w:smallCaps/>
      <w:color w:val="auto"/>
      <w:kern w:val="0"/>
      <w:sz w:val="24"/>
      <w:szCs w:val="24"/>
    </w:rPr>
  </w:style>
  <w:style w:type="character" w:customStyle="1" w:styleId="Heading7Char">
    <w:name w:val="Heading 7 Char"/>
    <w:basedOn w:val="DefaultParagraphFont"/>
    <w:link w:val="Heading7"/>
    <w:uiPriority w:val="99"/>
    <w:locked/>
    <w:rsid w:val="00E30A20"/>
    <w:rPr>
      <w:rFonts w:ascii="Times New Roman" w:hAnsi="Times New Roman" w:cs="Times New Roman"/>
      <w:color w:val="auto"/>
      <w:kern w:val="0"/>
      <w:sz w:val="24"/>
      <w:szCs w:val="24"/>
    </w:rPr>
  </w:style>
  <w:style w:type="character" w:customStyle="1" w:styleId="Heading8Char">
    <w:name w:val="Heading 8 Char"/>
    <w:basedOn w:val="DefaultParagraphFont"/>
    <w:link w:val="Heading8"/>
    <w:uiPriority w:val="99"/>
    <w:locked/>
    <w:rsid w:val="00E30A20"/>
    <w:rPr>
      <w:rFonts w:ascii="Times New Roman" w:hAnsi="Times New Roman" w:cs="Times New Roman"/>
      <w:color w:val="auto"/>
      <w:kern w:val="0"/>
      <w:sz w:val="24"/>
      <w:szCs w:val="24"/>
    </w:rPr>
  </w:style>
  <w:style w:type="character" w:customStyle="1" w:styleId="Heading9Char">
    <w:name w:val="Heading 9 Char"/>
    <w:basedOn w:val="DefaultParagraphFont"/>
    <w:link w:val="Heading9"/>
    <w:uiPriority w:val="99"/>
    <w:locked/>
    <w:rsid w:val="00E30A20"/>
    <w:rPr>
      <w:rFonts w:ascii="Times New Roman" w:hAnsi="Times New Roman" w:cs="Times New Roman"/>
      <w:color w:val="auto"/>
      <w:kern w:val="0"/>
      <w:sz w:val="24"/>
      <w:szCs w:val="24"/>
    </w:rPr>
  </w:style>
  <w:style w:type="paragraph" w:styleId="Footer">
    <w:name w:val="footer"/>
    <w:basedOn w:val="Normal"/>
    <w:link w:val="FooterChar"/>
    <w:uiPriority w:val="99"/>
    <w:rsid w:val="00E30A20"/>
    <w:pPr>
      <w:tabs>
        <w:tab w:val="center" w:pos="4320"/>
        <w:tab w:val="right" w:pos="8640"/>
      </w:tabs>
      <w:spacing w:after="0" w:line="240" w:lineRule="auto"/>
    </w:pPr>
    <w:rPr>
      <w:rFonts w:ascii="Times New Roman" w:eastAsia="Times New Roman" w:hAnsi="Times New Roman" w:cs="Times New Roman"/>
      <w:color w:val="auto"/>
      <w:kern w:val="0"/>
      <w:sz w:val="24"/>
      <w:szCs w:val="24"/>
    </w:rPr>
  </w:style>
  <w:style w:type="character" w:customStyle="1" w:styleId="FooterChar">
    <w:name w:val="Footer Char"/>
    <w:basedOn w:val="DefaultParagraphFont"/>
    <w:link w:val="Footer"/>
    <w:uiPriority w:val="99"/>
    <w:locked/>
    <w:rsid w:val="00E30A20"/>
    <w:rPr>
      <w:rFonts w:ascii="Times New Roman" w:hAnsi="Times New Roman" w:cs="Times New Roman"/>
      <w:color w:val="auto"/>
      <w:kern w:val="0"/>
      <w:sz w:val="24"/>
      <w:szCs w:val="24"/>
    </w:rPr>
  </w:style>
  <w:style w:type="character" w:styleId="PageNumber">
    <w:name w:val="page number"/>
    <w:basedOn w:val="DefaultParagraphFont"/>
    <w:uiPriority w:val="99"/>
    <w:rsid w:val="00E30A20"/>
    <w:rPr>
      <w:rFonts w:cs="Times New Roman"/>
    </w:rPr>
  </w:style>
  <w:style w:type="paragraph" w:styleId="Header">
    <w:name w:val="header"/>
    <w:basedOn w:val="Normal"/>
    <w:link w:val="HeaderChar"/>
    <w:uiPriority w:val="99"/>
    <w:rsid w:val="00E30A20"/>
    <w:pPr>
      <w:tabs>
        <w:tab w:val="center" w:pos="4320"/>
        <w:tab w:val="right" w:pos="8640"/>
      </w:tabs>
      <w:spacing w:after="0" w:line="240" w:lineRule="auto"/>
    </w:pPr>
    <w:rPr>
      <w:rFonts w:ascii="Times New Roman" w:eastAsia="Times New Roman" w:hAnsi="Times New Roman" w:cs="Times New Roman"/>
      <w:color w:val="auto"/>
      <w:kern w:val="0"/>
      <w:sz w:val="24"/>
      <w:szCs w:val="24"/>
    </w:rPr>
  </w:style>
  <w:style w:type="character" w:customStyle="1" w:styleId="HeaderChar">
    <w:name w:val="Header Char"/>
    <w:basedOn w:val="DefaultParagraphFont"/>
    <w:link w:val="Header"/>
    <w:uiPriority w:val="99"/>
    <w:locked/>
    <w:rsid w:val="00E30A20"/>
    <w:rPr>
      <w:rFonts w:ascii="Times New Roman" w:hAnsi="Times New Roman" w:cs="Times New Roman"/>
      <w:color w:val="auto"/>
      <w:kern w:val="0"/>
      <w:sz w:val="24"/>
      <w:szCs w:val="24"/>
    </w:rPr>
  </w:style>
  <w:style w:type="paragraph" w:styleId="BodyText">
    <w:name w:val="Body Text"/>
    <w:basedOn w:val="Normal"/>
    <w:link w:val="BodyTextChar"/>
    <w:uiPriority w:val="99"/>
    <w:rsid w:val="00E30A20"/>
    <w:pPr>
      <w:framePr w:w="3801" w:h="5761" w:hSpace="180" w:wrap="around" w:vAnchor="text" w:hAnchor="page" w:x="6961" w:y="1165"/>
      <w:spacing w:after="0" w:line="240" w:lineRule="auto"/>
    </w:pPr>
    <w:rPr>
      <w:rFonts w:ascii="Times New Roman" w:eastAsia="Times New Roman" w:hAnsi="Times New Roman" w:cs="Times New Roman"/>
      <w:color w:val="auto"/>
      <w:kern w:val="0"/>
      <w:sz w:val="20"/>
      <w:szCs w:val="24"/>
    </w:rPr>
  </w:style>
  <w:style w:type="character" w:customStyle="1" w:styleId="BodyTextChar">
    <w:name w:val="Body Text Char"/>
    <w:basedOn w:val="DefaultParagraphFont"/>
    <w:link w:val="BodyText"/>
    <w:uiPriority w:val="99"/>
    <w:locked/>
    <w:rsid w:val="00E30A20"/>
    <w:rPr>
      <w:rFonts w:ascii="Times New Roman" w:hAnsi="Times New Roman" w:cs="Times New Roman"/>
      <w:color w:val="auto"/>
      <w:kern w:val="0"/>
      <w:sz w:val="24"/>
      <w:szCs w:val="24"/>
    </w:rPr>
  </w:style>
  <w:style w:type="paragraph" w:styleId="Caption">
    <w:name w:val="caption"/>
    <w:basedOn w:val="Normal"/>
    <w:next w:val="Normal"/>
    <w:uiPriority w:val="99"/>
    <w:qFormat/>
    <w:rsid w:val="00E30A20"/>
    <w:pPr>
      <w:spacing w:after="0" w:line="240" w:lineRule="auto"/>
    </w:pPr>
    <w:rPr>
      <w:rFonts w:ascii="Times New Roman Bold" w:eastAsia="Times New Roman" w:hAnsi="Times New Roman Bold" w:cs="Times New Roman"/>
      <w:caps/>
      <w:color w:val="auto"/>
      <w:kern w:val="0"/>
      <w:sz w:val="24"/>
      <w:szCs w:val="24"/>
    </w:rPr>
  </w:style>
  <w:style w:type="paragraph" w:styleId="BodyText2">
    <w:name w:val="Body Text 2"/>
    <w:basedOn w:val="Normal"/>
    <w:link w:val="BodyText2Char"/>
    <w:uiPriority w:val="99"/>
    <w:rsid w:val="00E30A20"/>
    <w:pPr>
      <w:spacing w:after="0" w:line="240" w:lineRule="auto"/>
    </w:pPr>
    <w:rPr>
      <w:rFonts w:ascii="Times New Roman" w:eastAsia="Times New Roman" w:hAnsi="Times New Roman" w:cs="Times New Roman"/>
      <w:smallCaps/>
      <w:color w:val="auto"/>
      <w:kern w:val="0"/>
      <w:sz w:val="24"/>
      <w:szCs w:val="24"/>
    </w:rPr>
  </w:style>
  <w:style w:type="character" w:customStyle="1" w:styleId="BodyText2Char">
    <w:name w:val="Body Text 2 Char"/>
    <w:basedOn w:val="DefaultParagraphFont"/>
    <w:link w:val="BodyText2"/>
    <w:uiPriority w:val="99"/>
    <w:locked/>
    <w:rsid w:val="00E30A20"/>
    <w:rPr>
      <w:rFonts w:ascii="Times New Roman" w:hAnsi="Times New Roman" w:cs="Times New Roman"/>
      <w:smallCaps/>
      <w:color w:val="auto"/>
      <w:kern w:val="0"/>
      <w:sz w:val="24"/>
      <w:szCs w:val="24"/>
    </w:rPr>
  </w:style>
  <w:style w:type="paragraph" w:customStyle="1" w:styleId="Outline">
    <w:name w:val="Outline"/>
    <w:basedOn w:val="Normal"/>
    <w:uiPriority w:val="99"/>
    <w:rsid w:val="00E30A20"/>
    <w:pPr>
      <w:spacing w:before="240" w:after="0" w:line="240" w:lineRule="auto"/>
    </w:pPr>
    <w:rPr>
      <w:rFonts w:ascii="Times New Roman" w:eastAsia="Times New Roman" w:hAnsi="Times New Roman" w:cs="Times New Roman"/>
      <w:color w:val="auto"/>
      <w:kern w:val="28"/>
      <w:sz w:val="24"/>
      <w:szCs w:val="20"/>
    </w:rPr>
  </w:style>
  <w:style w:type="paragraph" w:styleId="BodyTextIndent2">
    <w:name w:val="Body Text Indent 2"/>
    <w:basedOn w:val="Normal"/>
    <w:link w:val="BodyTextIndent2Char"/>
    <w:uiPriority w:val="99"/>
    <w:rsid w:val="00E30A20"/>
    <w:pPr>
      <w:spacing w:after="0" w:line="240" w:lineRule="auto"/>
      <w:ind w:left="360"/>
    </w:pPr>
    <w:rPr>
      <w:rFonts w:ascii="Times New Roman" w:eastAsia="Times New Roman" w:hAnsi="Times New Roman" w:cs="Times New Roman"/>
      <w:i/>
      <w:iCs/>
      <w:color w:val="auto"/>
      <w:kern w:val="0"/>
      <w:szCs w:val="24"/>
    </w:rPr>
  </w:style>
  <w:style w:type="character" w:customStyle="1" w:styleId="BodyTextIndent2Char">
    <w:name w:val="Body Text Indent 2 Char"/>
    <w:basedOn w:val="DefaultParagraphFont"/>
    <w:link w:val="BodyTextIndent2"/>
    <w:uiPriority w:val="99"/>
    <w:locked/>
    <w:rsid w:val="00E30A20"/>
    <w:rPr>
      <w:rFonts w:ascii="Times New Roman" w:hAnsi="Times New Roman" w:cs="Times New Roman"/>
      <w:i/>
      <w:iCs/>
      <w:color w:val="auto"/>
      <w:kern w:val="0"/>
      <w:sz w:val="24"/>
      <w:szCs w:val="24"/>
    </w:rPr>
  </w:style>
  <w:style w:type="character" w:styleId="Hyperlink">
    <w:name w:val="Hyperlink"/>
    <w:basedOn w:val="DefaultParagraphFont"/>
    <w:uiPriority w:val="99"/>
    <w:rsid w:val="00E30A20"/>
    <w:rPr>
      <w:rFonts w:cs="Times New Roman"/>
      <w:color w:val="0000FF"/>
      <w:u w:val="single"/>
    </w:rPr>
  </w:style>
  <w:style w:type="paragraph" w:styleId="BodyTextIndent">
    <w:name w:val="Body Text Indent"/>
    <w:basedOn w:val="Normal"/>
    <w:link w:val="BodyTextIndentChar"/>
    <w:uiPriority w:val="99"/>
    <w:rsid w:val="00E30A20"/>
    <w:pPr>
      <w:spacing w:after="80" w:line="240" w:lineRule="auto"/>
      <w:ind w:left="1080"/>
      <w:jc w:val="both"/>
    </w:pPr>
    <w:rPr>
      <w:rFonts w:ascii="Times New Roman" w:eastAsia="Times New Roman" w:hAnsi="Times New Roman" w:cs="Times New Roman"/>
      <w:color w:val="auto"/>
      <w:kern w:val="0"/>
      <w:sz w:val="24"/>
      <w:szCs w:val="24"/>
    </w:rPr>
  </w:style>
  <w:style w:type="character" w:customStyle="1" w:styleId="BodyTextIndentChar">
    <w:name w:val="Body Text Indent Char"/>
    <w:basedOn w:val="DefaultParagraphFont"/>
    <w:link w:val="BodyTextIndent"/>
    <w:uiPriority w:val="99"/>
    <w:locked/>
    <w:rsid w:val="00E30A20"/>
    <w:rPr>
      <w:rFonts w:ascii="Times New Roman" w:hAnsi="Times New Roman" w:cs="Times New Roman"/>
      <w:color w:val="auto"/>
      <w:kern w:val="0"/>
      <w:sz w:val="24"/>
      <w:szCs w:val="24"/>
    </w:rPr>
  </w:style>
  <w:style w:type="paragraph" w:styleId="BodyTextIndent3">
    <w:name w:val="Body Text Indent 3"/>
    <w:basedOn w:val="Normal"/>
    <w:link w:val="BodyTextIndent3Char"/>
    <w:uiPriority w:val="99"/>
    <w:rsid w:val="00E30A20"/>
    <w:pPr>
      <w:spacing w:after="0" w:line="240" w:lineRule="auto"/>
      <w:ind w:left="540"/>
    </w:pPr>
    <w:rPr>
      <w:rFonts w:ascii="Times New Roman" w:eastAsia="Times New Roman" w:hAnsi="Times New Roman" w:cs="Times New Roman"/>
      <w:color w:val="auto"/>
      <w:kern w:val="0"/>
      <w:sz w:val="24"/>
      <w:szCs w:val="24"/>
    </w:rPr>
  </w:style>
  <w:style w:type="character" w:customStyle="1" w:styleId="BodyTextIndent3Char">
    <w:name w:val="Body Text Indent 3 Char"/>
    <w:basedOn w:val="DefaultParagraphFont"/>
    <w:link w:val="BodyTextIndent3"/>
    <w:uiPriority w:val="99"/>
    <w:locked/>
    <w:rsid w:val="00E30A20"/>
    <w:rPr>
      <w:rFonts w:ascii="Times New Roman" w:hAnsi="Times New Roman" w:cs="Times New Roman"/>
      <w:color w:val="auto"/>
      <w:kern w:val="0"/>
      <w:sz w:val="24"/>
      <w:szCs w:val="24"/>
    </w:rPr>
  </w:style>
  <w:style w:type="paragraph" w:styleId="BalloonText">
    <w:name w:val="Balloon Text"/>
    <w:basedOn w:val="Normal"/>
    <w:link w:val="BalloonTextChar"/>
    <w:uiPriority w:val="99"/>
    <w:semiHidden/>
    <w:rsid w:val="00E30A20"/>
    <w:pPr>
      <w:spacing w:after="0" w:line="240" w:lineRule="auto"/>
    </w:pPr>
    <w:rPr>
      <w:rFonts w:ascii="Tahoma" w:eastAsia="Times New Roman" w:hAnsi="Tahoma" w:cs="Times New Roman"/>
      <w:color w:val="auto"/>
      <w:kern w:val="0"/>
      <w:sz w:val="16"/>
      <w:szCs w:val="16"/>
    </w:rPr>
  </w:style>
  <w:style w:type="character" w:customStyle="1" w:styleId="BalloonTextChar">
    <w:name w:val="Balloon Text Char"/>
    <w:basedOn w:val="DefaultParagraphFont"/>
    <w:link w:val="BalloonText"/>
    <w:uiPriority w:val="99"/>
    <w:semiHidden/>
    <w:locked/>
    <w:rsid w:val="00E30A20"/>
    <w:rPr>
      <w:rFonts w:ascii="Tahoma" w:hAnsi="Tahoma" w:cs="Times New Roman"/>
      <w:color w:val="auto"/>
      <w:kern w:val="0"/>
      <w:sz w:val="16"/>
      <w:szCs w:val="16"/>
    </w:rPr>
  </w:style>
  <w:style w:type="table" w:styleId="TableGrid">
    <w:name w:val="Table Grid"/>
    <w:basedOn w:val="TableNormal"/>
    <w:uiPriority w:val="99"/>
    <w:rsid w:val="00E30A20"/>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otnote Text,ft,DNV-FT,fn,ADB,Fußnote,WB-Fußnotentext,WB-Fußnotentext Char Char,Fußnotentext Char,FOOTNOTES,footnote text Char Char,Footnote Text Char1 Char,ADB Char C"/>
    <w:basedOn w:val="Normal"/>
    <w:link w:val="FootnoteTextChar1"/>
    <w:uiPriority w:val="99"/>
    <w:rsid w:val="00E30A20"/>
    <w:pPr>
      <w:spacing w:after="0" w:line="240" w:lineRule="auto"/>
    </w:pPr>
    <w:rPr>
      <w:rFonts w:ascii="Times New Roman" w:eastAsia="Times New Roman" w:hAnsi="Times New Roman" w:cs="Times New Roman"/>
      <w:color w:val="auto"/>
      <w:kern w:val="0"/>
      <w:sz w:val="20"/>
      <w:szCs w:val="20"/>
    </w:rPr>
  </w:style>
  <w:style w:type="character" w:customStyle="1" w:styleId="FootnoteTextChar">
    <w:name w:val="Footnote Text Char"/>
    <w:aliases w:val="Geneva 9 Char,Font: Geneva 9 Char,Boston 10 Char,f Char,single space Char,Footnote Char,otnote Text Char,ft Char,DNV-FT Char,fn Char,ADB Char,Fußnote Char,WB-Fußnotentext Char,WB-Fußnotentext Char Char Char,Fußnotentext Char Char"/>
    <w:basedOn w:val="DefaultParagraphFont"/>
    <w:uiPriority w:val="99"/>
    <w:locked/>
    <w:rsid w:val="00BF6111"/>
    <w:rPr>
      <w:rFonts w:cs="Times New Roman"/>
      <w:color w:val="FFFFFF"/>
      <w:kern w:val="32"/>
      <w:sz w:val="20"/>
      <w:szCs w:val="20"/>
      <w:lang w:val="en-US" w:eastAsia="en-US"/>
    </w:rPr>
  </w:style>
  <w:style w:type="character" w:customStyle="1" w:styleId="FootnoteTextChar1">
    <w:name w:val="Footnote Text Char1"/>
    <w:aliases w:val="Geneva 9 Char1,Font: Geneva 9 Char1,Boston 10 Char1,f Char1,single space Char1,Footnote Char1,otnote Text Char1,ft Char1,DNV-FT Char1,fn Char1,ADB Char1,Fußnote Char1,WB-Fußnotentext Char1,WB-Fußnotentext Char Char Char1"/>
    <w:basedOn w:val="DefaultParagraphFont"/>
    <w:link w:val="FootnoteText"/>
    <w:uiPriority w:val="99"/>
    <w:locked/>
    <w:rsid w:val="00E30A20"/>
    <w:rPr>
      <w:rFonts w:ascii="Times New Roman" w:hAnsi="Times New Roman" w:cs="Times New Roman"/>
      <w:color w:val="auto"/>
      <w:kern w:val="0"/>
      <w:sz w:val="20"/>
      <w:szCs w:val="20"/>
    </w:rPr>
  </w:style>
  <w:style w:type="character" w:styleId="FootnoteReference">
    <w:name w:val="footnote reference"/>
    <w:aliases w:val="16 Point,Superscript 6 Point,Superscript 6 Point + 11 pt,ftref,fr,BVI fnr,BVI fnr Car Car,BVI fnr Car,BVI fnr Car Car Car Car,Footnote text"/>
    <w:basedOn w:val="DefaultParagraphFont"/>
    <w:uiPriority w:val="99"/>
    <w:rsid w:val="00E30A20"/>
    <w:rPr>
      <w:rFonts w:cs="Times New Roman"/>
      <w:vertAlign w:val="superscript"/>
    </w:rPr>
  </w:style>
  <w:style w:type="character" w:styleId="FollowedHyperlink">
    <w:name w:val="FollowedHyperlink"/>
    <w:basedOn w:val="DefaultParagraphFont"/>
    <w:uiPriority w:val="99"/>
    <w:rsid w:val="00E30A20"/>
    <w:rPr>
      <w:rFonts w:cs="Times New Roman"/>
      <w:color w:val="606420"/>
      <w:u w:val="single"/>
    </w:rPr>
  </w:style>
  <w:style w:type="paragraph" w:styleId="DocumentMap">
    <w:name w:val="Document Map"/>
    <w:basedOn w:val="Normal"/>
    <w:link w:val="DocumentMapChar"/>
    <w:uiPriority w:val="99"/>
    <w:semiHidden/>
    <w:rsid w:val="00E30A20"/>
    <w:pPr>
      <w:shd w:val="clear" w:color="auto" w:fill="000080"/>
      <w:spacing w:after="0" w:line="240" w:lineRule="auto"/>
    </w:pPr>
    <w:rPr>
      <w:rFonts w:ascii="Tahoma" w:eastAsia="Times New Roman" w:hAnsi="Tahoma" w:cs="Tahoma"/>
      <w:color w:val="auto"/>
      <w:kern w:val="0"/>
      <w:sz w:val="20"/>
      <w:szCs w:val="20"/>
    </w:rPr>
  </w:style>
  <w:style w:type="character" w:customStyle="1" w:styleId="DocumentMapChar">
    <w:name w:val="Document Map Char"/>
    <w:basedOn w:val="DefaultParagraphFont"/>
    <w:link w:val="DocumentMap"/>
    <w:uiPriority w:val="99"/>
    <w:semiHidden/>
    <w:locked/>
    <w:rsid w:val="00E30A20"/>
    <w:rPr>
      <w:rFonts w:ascii="Tahoma" w:hAnsi="Tahoma" w:cs="Tahoma"/>
      <w:color w:val="auto"/>
      <w:kern w:val="0"/>
      <w:sz w:val="20"/>
      <w:szCs w:val="20"/>
      <w:shd w:val="clear" w:color="auto" w:fill="000080"/>
    </w:rPr>
  </w:style>
  <w:style w:type="paragraph" w:customStyle="1" w:styleId="MainParanoChapter">
    <w:name w:val="Main Para no Chapter #"/>
    <w:basedOn w:val="Normal"/>
    <w:link w:val="MainParanoChapterChar"/>
    <w:autoRedefine/>
    <w:uiPriority w:val="99"/>
    <w:rsid w:val="00E30A20"/>
    <w:pPr>
      <w:numPr>
        <w:numId w:val="5"/>
      </w:numPr>
      <w:spacing w:before="120" w:after="240" w:line="240" w:lineRule="auto"/>
      <w:outlineLvl w:val="1"/>
    </w:pPr>
    <w:rPr>
      <w:rFonts w:ascii="Times New Roman" w:hAnsi="Times New Roman" w:cs="Times New Roman"/>
      <w:color w:val="000000"/>
      <w:kern w:val="0"/>
      <w:sz w:val="24"/>
      <w:szCs w:val="20"/>
      <w:lang w:val="ru-RU" w:eastAsia="ru-RU"/>
    </w:rPr>
  </w:style>
  <w:style w:type="paragraph" w:styleId="TOC1">
    <w:name w:val="toc 1"/>
    <w:basedOn w:val="Normal"/>
    <w:next w:val="Normal"/>
    <w:autoRedefine/>
    <w:uiPriority w:val="99"/>
    <w:rsid w:val="00E30A20"/>
    <w:pPr>
      <w:tabs>
        <w:tab w:val="right" w:leader="dot" w:pos="9638"/>
      </w:tabs>
      <w:spacing w:after="0" w:line="240" w:lineRule="auto"/>
      <w:ind w:left="3600"/>
      <w:jc w:val="right"/>
    </w:pPr>
    <w:rPr>
      <w:rFonts w:ascii="Times New Roman" w:eastAsia="Times New Roman" w:hAnsi="Times New Roman" w:cs="Times New Roman"/>
      <w:caps/>
      <w:noProof/>
      <w:color w:val="auto"/>
      <w:kern w:val="0"/>
    </w:rPr>
  </w:style>
  <w:style w:type="paragraph" w:styleId="ListParagraph">
    <w:name w:val="List Paragraph"/>
    <w:basedOn w:val="Normal"/>
    <w:autoRedefine/>
    <w:uiPriority w:val="99"/>
    <w:qFormat/>
    <w:rsid w:val="006A5867"/>
    <w:pPr>
      <w:numPr>
        <w:numId w:val="36"/>
      </w:numPr>
      <w:spacing w:after="80" w:line="240" w:lineRule="auto"/>
      <w:ind w:left="360"/>
      <w:contextualSpacing/>
      <w:outlineLvl w:val="0"/>
    </w:pPr>
    <w:rPr>
      <w:rFonts w:ascii="Times New Roman" w:eastAsia="Times New Roman" w:hAnsi="Times New Roman" w:cs="Times New Roman"/>
      <w:color w:val="auto"/>
      <w:kern w:val="0"/>
      <w:sz w:val="20"/>
      <w:szCs w:val="20"/>
      <w:lang w:val="en-GB"/>
    </w:rPr>
  </w:style>
  <w:style w:type="character" w:customStyle="1" w:styleId="MainParanoChapterChar">
    <w:name w:val="Main Para no Chapter # Char"/>
    <w:link w:val="MainParanoChapter"/>
    <w:uiPriority w:val="99"/>
    <w:locked/>
    <w:rsid w:val="00E30A20"/>
    <w:rPr>
      <w:rFonts w:ascii="Times New Roman" w:hAnsi="Times New Roman"/>
      <w:color w:val="000000"/>
      <w:kern w:val="0"/>
      <w:sz w:val="24"/>
    </w:rPr>
  </w:style>
  <w:style w:type="paragraph" w:styleId="NoSpacing">
    <w:name w:val="No Spacing"/>
    <w:uiPriority w:val="99"/>
    <w:qFormat/>
    <w:rsid w:val="00E30A20"/>
    <w:rPr>
      <w:rFonts w:ascii="Calibri" w:eastAsia="Times New Roman" w:hAnsi="Calibri" w:cs="Times New Roman"/>
      <w:lang w:val="en-US" w:eastAsia="en-US"/>
    </w:rPr>
  </w:style>
  <w:style w:type="character" w:styleId="CommentReference">
    <w:name w:val="annotation reference"/>
    <w:basedOn w:val="DefaultParagraphFont"/>
    <w:uiPriority w:val="99"/>
    <w:rsid w:val="00E30A20"/>
    <w:rPr>
      <w:rFonts w:cs="Times New Roman"/>
      <w:sz w:val="16"/>
    </w:rPr>
  </w:style>
  <w:style w:type="paragraph" w:styleId="CommentText">
    <w:name w:val="annotation text"/>
    <w:basedOn w:val="Normal"/>
    <w:link w:val="CommentTextChar"/>
    <w:uiPriority w:val="99"/>
    <w:rsid w:val="00E30A20"/>
    <w:pPr>
      <w:spacing w:after="0" w:line="240" w:lineRule="auto"/>
    </w:pPr>
    <w:rPr>
      <w:rFonts w:ascii="Times New Roman" w:eastAsia="Times New Roman" w:hAnsi="Times New Roman" w:cs="Times New Roman"/>
      <w:color w:val="auto"/>
      <w:kern w:val="0"/>
      <w:sz w:val="20"/>
      <w:szCs w:val="20"/>
    </w:rPr>
  </w:style>
  <w:style w:type="character" w:customStyle="1" w:styleId="CommentTextChar">
    <w:name w:val="Comment Text Char"/>
    <w:basedOn w:val="DefaultParagraphFont"/>
    <w:link w:val="CommentText"/>
    <w:uiPriority w:val="99"/>
    <w:locked/>
    <w:rsid w:val="00E30A20"/>
    <w:rPr>
      <w:rFonts w:ascii="Times New Roman" w:hAnsi="Times New Roman" w:cs="Times New Roman"/>
      <w:color w:val="auto"/>
      <w:kern w:val="0"/>
      <w:sz w:val="20"/>
      <w:szCs w:val="20"/>
    </w:rPr>
  </w:style>
  <w:style w:type="paragraph" w:styleId="CommentSubject">
    <w:name w:val="annotation subject"/>
    <w:basedOn w:val="CommentText"/>
    <w:next w:val="CommentText"/>
    <w:link w:val="CommentSubjectChar"/>
    <w:uiPriority w:val="99"/>
    <w:rsid w:val="00E30A20"/>
    <w:rPr>
      <w:b/>
      <w:bCs/>
    </w:rPr>
  </w:style>
  <w:style w:type="character" w:customStyle="1" w:styleId="CommentSubjectChar">
    <w:name w:val="Comment Subject Char"/>
    <w:basedOn w:val="CommentTextChar"/>
    <w:link w:val="CommentSubject"/>
    <w:uiPriority w:val="99"/>
    <w:locked/>
    <w:rsid w:val="00E30A20"/>
    <w:rPr>
      <w:rFonts w:ascii="Times New Roman" w:hAnsi="Times New Roman" w:cs="Times New Roman"/>
      <w:color w:val="auto"/>
      <w:kern w:val="0"/>
      <w:sz w:val="20"/>
      <w:szCs w:val="20"/>
    </w:rPr>
  </w:style>
  <w:style w:type="paragraph" w:customStyle="1" w:styleId="NumberedParasinaPIF">
    <w:name w:val="Numbered Paras in a PIF"/>
    <w:basedOn w:val="Normal"/>
    <w:link w:val="NumberedParasinaPIFChar"/>
    <w:uiPriority w:val="99"/>
    <w:rsid w:val="006B4B8A"/>
    <w:pPr>
      <w:spacing w:after="0" w:line="240" w:lineRule="auto"/>
      <w:jc w:val="both"/>
    </w:pPr>
    <w:rPr>
      <w:rFonts w:ascii="Times New Roman" w:hAnsi="Times New Roman" w:cs="Times New Roman"/>
      <w:noProof/>
      <w:color w:val="auto"/>
      <w:kern w:val="0"/>
      <w:sz w:val="20"/>
    </w:rPr>
  </w:style>
  <w:style w:type="character" w:customStyle="1" w:styleId="NumberedParasinaPIFChar">
    <w:name w:val="Numbered Paras in a PIF Char"/>
    <w:basedOn w:val="DefaultParagraphFont"/>
    <w:link w:val="NumberedParasinaPIF"/>
    <w:uiPriority w:val="99"/>
    <w:locked/>
    <w:rsid w:val="006B4B8A"/>
    <w:rPr>
      <w:rFonts w:ascii="Times New Roman" w:hAnsi="Times New Roman" w:cs="Times New Roman"/>
      <w:noProof/>
      <w:color w:val="auto"/>
      <w:kern w:val="0"/>
      <w:sz w:val="20"/>
    </w:rPr>
  </w:style>
  <w:style w:type="paragraph" w:customStyle="1" w:styleId="A">
    <w:name w:val="A"/>
    <w:basedOn w:val="Normal"/>
    <w:uiPriority w:val="99"/>
    <w:rsid w:val="00352FA2"/>
    <w:pPr>
      <w:numPr>
        <w:numId w:val="31"/>
      </w:numPr>
      <w:spacing w:after="100" w:line="240" w:lineRule="auto"/>
      <w:jc w:val="both"/>
    </w:pPr>
    <w:rPr>
      <w:rFonts w:ascii="Times New Roman" w:eastAsia="Times New Roman" w:hAnsi="Times New Roman" w:cs="Times New Roman"/>
      <w:b/>
      <w:bCs/>
      <w:color w:val="auto"/>
      <w:kern w:val="0"/>
    </w:rPr>
  </w:style>
  <w:style w:type="paragraph" w:customStyle="1" w:styleId="Body">
    <w:name w:val="Body"/>
    <w:basedOn w:val="Normal"/>
    <w:uiPriority w:val="99"/>
    <w:rsid w:val="000534EB"/>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color w:val="000000"/>
      <w:kern w:val="0"/>
      <w:szCs w:val="20"/>
    </w:rPr>
  </w:style>
  <w:style w:type="paragraph" w:customStyle="1" w:styleId="Para">
    <w:name w:val="Para"/>
    <w:basedOn w:val="Normal"/>
    <w:link w:val="ParaChar"/>
    <w:autoRedefine/>
    <w:uiPriority w:val="99"/>
    <w:rsid w:val="00EA238F"/>
    <w:pPr>
      <w:spacing w:after="120" w:line="240" w:lineRule="auto"/>
    </w:pPr>
    <w:rPr>
      <w:rFonts w:ascii="Times New Roman" w:hAnsi="Times New Roman" w:cs="Times New Roman"/>
      <w:color w:val="auto"/>
      <w:kern w:val="0"/>
      <w:sz w:val="21"/>
      <w:szCs w:val="20"/>
      <w:lang w:val="ru-RU" w:eastAsia="ru-RU"/>
    </w:rPr>
  </w:style>
  <w:style w:type="character" w:customStyle="1" w:styleId="ParaChar">
    <w:name w:val="Para Char"/>
    <w:link w:val="Para"/>
    <w:uiPriority w:val="99"/>
    <w:locked/>
    <w:rsid w:val="00EA238F"/>
    <w:rPr>
      <w:rFonts w:ascii="Times New Roman" w:hAnsi="Times New Roman"/>
      <w:color w:val="auto"/>
      <w:kern w:val="0"/>
      <w:sz w:val="21"/>
    </w:rPr>
  </w:style>
  <w:style w:type="paragraph" w:customStyle="1" w:styleId="aaa">
    <w:name w:val="aaa"/>
    <w:basedOn w:val="Normal"/>
    <w:uiPriority w:val="99"/>
    <w:rsid w:val="00073EAD"/>
    <w:pPr>
      <w:spacing w:before="80" w:after="0" w:line="240" w:lineRule="auto"/>
    </w:pPr>
    <w:rPr>
      <w:rFonts w:ascii="Times New Roman" w:eastAsia="Times New Roman" w:hAnsi="Times New Roman" w:cs="Times New Roman"/>
      <w:i/>
      <w:color w:val="auto"/>
      <w:kern w:val="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Arial"/>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CE0462"/>
    <w:pPr>
      <w:spacing w:after="200" w:line="276" w:lineRule="auto"/>
    </w:pPr>
    <w:rPr>
      <w:color w:val="FFFFFF"/>
      <w:kern w:val="32"/>
      <w:lang w:val="en-US" w:eastAsia="en-US"/>
    </w:rPr>
  </w:style>
  <w:style w:type="paragraph" w:styleId="Heading1">
    <w:name w:val="heading 1"/>
    <w:basedOn w:val="Normal"/>
    <w:next w:val="Normal"/>
    <w:link w:val="Heading1Char"/>
    <w:uiPriority w:val="99"/>
    <w:qFormat/>
    <w:rsid w:val="00E30A20"/>
    <w:pPr>
      <w:keepNext/>
      <w:spacing w:after="0" w:line="240" w:lineRule="auto"/>
      <w:outlineLvl w:val="0"/>
    </w:pPr>
    <w:rPr>
      <w:rFonts w:ascii="Times New Roman" w:eastAsia="Times New Roman" w:hAnsi="Times New Roman" w:cs="Times New Roman"/>
      <w:color w:val="auto"/>
      <w:kern w:val="0"/>
      <w:sz w:val="24"/>
      <w:szCs w:val="24"/>
      <w:u w:val="single"/>
    </w:rPr>
  </w:style>
  <w:style w:type="paragraph" w:styleId="Heading2">
    <w:name w:val="heading 2"/>
    <w:basedOn w:val="Normal"/>
    <w:next w:val="Normal"/>
    <w:link w:val="Heading2Char"/>
    <w:uiPriority w:val="99"/>
    <w:qFormat/>
    <w:rsid w:val="00E30A20"/>
    <w:pPr>
      <w:keepNext/>
      <w:spacing w:after="0" w:line="240" w:lineRule="auto"/>
      <w:outlineLvl w:val="1"/>
    </w:pPr>
    <w:rPr>
      <w:rFonts w:ascii="Times New Roman" w:eastAsia="Times New Roman" w:hAnsi="Times New Roman" w:cs="Times New Roman"/>
      <w:i/>
      <w:iCs/>
      <w:color w:val="auto"/>
      <w:kern w:val="0"/>
      <w:sz w:val="24"/>
      <w:szCs w:val="24"/>
    </w:rPr>
  </w:style>
  <w:style w:type="paragraph" w:styleId="Heading3">
    <w:name w:val="heading 3"/>
    <w:basedOn w:val="Normal"/>
    <w:next w:val="Normal"/>
    <w:link w:val="Heading3Char"/>
    <w:uiPriority w:val="99"/>
    <w:qFormat/>
    <w:rsid w:val="00E30A20"/>
    <w:pPr>
      <w:keepNext/>
      <w:spacing w:after="0" w:line="240" w:lineRule="auto"/>
      <w:outlineLvl w:val="2"/>
    </w:pPr>
    <w:rPr>
      <w:rFonts w:ascii="Times New Roman" w:eastAsia="Times New Roman" w:hAnsi="Times New Roman" w:cs="Times New Roman"/>
      <w:color w:val="auto"/>
      <w:kern w:val="0"/>
      <w:sz w:val="24"/>
      <w:szCs w:val="24"/>
    </w:rPr>
  </w:style>
  <w:style w:type="paragraph" w:styleId="Heading4">
    <w:name w:val="heading 4"/>
    <w:basedOn w:val="Normal"/>
    <w:next w:val="Normal"/>
    <w:link w:val="Heading4Char"/>
    <w:uiPriority w:val="99"/>
    <w:qFormat/>
    <w:rsid w:val="00E30A2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cs="Times New Roman"/>
      <w:smallCaps/>
      <w:kern w:val="0"/>
      <w:sz w:val="24"/>
      <w:szCs w:val="24"/>
    </w:rPr>
  </w:style>
  <w:style w:type="paragraph" w:styleId="Heading5">
    <w:name w:val="heading 5"/>
    <w:basedOn w:val="Normal"/>
    <w:next w:val="Normal"/>
    <w:link w:val="Heading5Char"/>
    <w:uiPriority w:val="99"/>
    <w:qFormat/>
    <w:rsid w:val="00E30A20"/>
    <w:pPr>
      <w:keepNext/>
      <w:spacing w:after="0" w:line="240" w:lineRule="auto"/>
      <w:ind w:left="720"/>
      <w:outlineLvl w:val="4"/>
    </w:pPr>
    <w:rPr>
      <w:rFonts w:ascii="Times New Roman" w:eastAsia="Times New Roman" w:hAnsi="Times New Roman" w:cs="Times New Roman"/>
      <w:color w:val="auto"/>
      <w:kern w:val="0"/>
      <w:sz w:val="24"/>
      <w:szCs w:val="24"/>
    </w:rPr>
  </w:style>
  <w:style w:type="paragraph" w:styleId="Heading6">
    <w:name w:val="heading 6"/>
    <w:basedOn w:val="Normal"/>
    <w:next w:val="Normal"/>
    <w:link w:val="Heading6Char"/>
    <w:uiPriority w:val="99"/>
    <w:qFormat/>
    <w:rsid w:val="00E30A20"/>
    <w:pPr>
      <w:keepNext/>
      <w:spacing w:after="0" w:line="240" w:lineRule="auto"/>
      <w:ind w:left="360"/>
      <w:outlineLvl w:val="5"/>
    </w:pPr>
    <w:rPr>
      <w:rFonts w:ascii="Times New Roman" w:eastAsia="Times New Roman" w:hAnsi="Times New Roman" w:cs="Times New Roman"/>
      <w:smallCaps/>
      <w:color w:val="auto"/>
      <w:kern w:val="0"/>
      <w:sz w:val="24"/>
      <w:szCs w:val="24"/>
    </w:rPr>
  </w:style>
  <w:style w:type="paragraph" w:styleId="Heading7">
    <w:name w:val="heading 7"/>
    <w:basedOn w:val="Normal"/>
    <w:next w:val="Normal"/>
    <w:link w:val="Heading7Char"/>
    <w:uiPriority w:val="99"/>
    <w:qFormat/>
    <w:rsid w:val="00E30A20"/>
    <w:pPr>
      <w:keepNext/>
      <w:spacing w:after="0" w:line="240" w:lineRule="auto"/>
      <w:outlineLvl w:val="6"/>
    </w:pPr>
    <w:rPr>
      <w:rFonts w:ascii="Times New Roman" w:eastAsia="Times New Roman" w:hAnsi="Times New Roman" w:cs="Times New Roman"/>
      <w:color w:val="auto"/>
      <w:kern w:val="0"/>
      <w:sz w:val="20"/>
      <w:szCs w:val="24"/>
    </w:rPr>
  </w:style>
  <w:style w:type="paragraph" w:styleId="Heading8">
    <w:name w:val="heading 8"/>
    <w:basedOn w:val="Normal"/>
    <w:next w:val="Normal"/>
    <w:link w:val="Heading8Char"/>
    <w:uiPriority w:val="99"/>
    <w:qFormat/>
    <w:rsid w:val="00E30A20"/>
    <w:pPr>
      <w:keepNext/>
      <w:spacing w:after="0" w:line="240" w:lineRule="auto"/>
      <w:jc w:val="center"/>
      <w:outlineLvl w:val="7"/>
    </w:pPr>
    <w:rPr>
      <w:rFonts w:ascii="Times New Roman" w:eastAsia="Times New Roman" w:hAnsi="Times New Roman" w:cs="Times New Roman"/>
      <w:color w:val="auto"/>
      <w:kern w:val="0"/>
      <w:sz w:val="20"/>
      <w:szCs w:val="24"/>
    </w:rPr>
  </w:style>
  <w:style w:type="paragraph" w:styleId="Heading9">
    <w:name w:val="heading 9"/>
    <w:basedOn w:val="Normal"/>
    <w:next w:val="Normal"/>
    <w:link w:val="Heading9Char"/>
    <w:uiPriority w:val="99"/>
    <w:qFormat/>
    <w:rsid w:val="00E30A20"/>
    <w:pPr>
      <w:keepNext/>
      <w:framePr w:w="3801" w:h="4681" w:hSpace="180" w:wrap="around" w:vAnchor="text" w:hAnchor="page" w:x="7141" w:y="1441"/>
      <w:spacing w:after="0" w:line="240" w:lineRule="auto"/>
      <w:outlineLvl w:val="8"/>
    </w:pPr>
    <w:rPr>
      <w:rFonts w:ascii="Times New Roman" w:eastAsia="Times New Roman" w:hAnsi="Times New Roman" w:cs="Times New Roman"/>
      <w:color w:val="auto"/>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0A20"/>
    <w:rPr>
      <w:rFonts w:ascii="Times New Roman" w:hAnsi="Times New Roman" w:cs="Times New Roman"/>
      <w:color w:val="auto"/>
      <w:kern w:val="0"/>
      <w:sz w:val="24"/>
      <w:szCs w:val="24"/>
      <w:u w:val="single"/>
    </w:rPr>
  </w:style>
  <w:style w:type="character" w:customStyle="1" w:styleId="Heading2Char">
    <w:name w:val="Heading 2 Char"/>
    <w:basedOn w:val="DefaultParagraphFont"/>
    <w:link w:val="Heading2"/>
    <w:uiPriority w:val="99"/>
    <w:locked/>
    <w:rsid w:val="00E30A20"/>
    <w:rPr>
      <w:rFonts w:ascii="Times New Roman" w:hAnsi="Times New Roman" w:cs="Times New Roman"/>
      <w:i/>
      <w:iCs/>
      <w:color w:val="auto"/>
      <w:kern w:val="0"/>
      <w:sz w:val="24"/>
      <w:szCs w:val="24"/>
    </w:rPr>
  </w:style>
  <w:style w:type="character" w:customStyle="1" w:styleId="Heading3Char">
    <w:name w:val="Heading 3 Char"/>
    <w:basedOn w:val="DefaultParagraphFont"/>
    <w:link w:val="Heading3"/>
    <w:uiPriority w:val="99"/>
    <w:locked/>
    <w:rsid w:val="00E30A20"/>
    <w:rPr>
      <w:rFonts w:ascii="Times New Roman" w:hAnsi="Times New Roman" w:cs="Times New Roman"/>
      <w:color w:val="auto"/>
      <w:kern w:val="0"/>
      <w:sz w:val="24"/>
      <w:szCs w:val="24"/>
    </w:rPr>
  </w:style>
  <w:style w:type="character" w:customStyle="1" w:styleId="Heading4Char">
    <w:name w:val="Heading 4 Char"/>
    <w:basedOn w:val="DefaultParagraphFont"/>
    <w:link w:val="Heading4"/>
    <w:uiPriority w:val="99"/>
    <w:locked/>
    <w:rsid w:val="00E30A20"/>
    <w:rPr>
      <w:rFonts w:ascii="Times New Roman Bold" w:hAnsi="Times New Roman Bold" w:cs="Times New Roman"/>
      <w:smallCaps/>
      <w:color w:val="FFFFFF"/>
      <w:kern w:val="0"/>
      <w:sz w:val="24"/>
      <w:szCs w:val="24"/>
      <w:shd w:val="clear" w:color="auto" w:fill="595959"/>
    </w:rPr>
  </w:style>
  <w:style w:type="character" w:customStyle="1" w:styleId="Heading5Char">
    <w:name w:val="Heading 5 Char"/>
    <w:basedOn w:val="DefaultParagraphFont"/>
    <w:link w:val="Heading5"/>
    <w:uiPriority w:val="99"/>
    <w:locked/>
    <w:rsid w:val="00E30A20"/>
    <w:rPr>
      <w:rFonts w:ascii="Times New Roman" w:hAnsi="Times New Roman" w:cs="Times New Roman"/>
      <w:color w:val="auto"/>
      <w:kern w:val="0"/>
      <w:sz w:val="24"/>
      <w:szCs w:val="24"/>
    </w:rPr>
  </w:style>
  <w:style w:type="character" w:customStyle="1" w:styleId="Heading6Char">
    <w:name w:val="Heading 6 Char"/>
    <w:basedOn w:val="DefaultParagraphFont"/>
    <w:link w:val="Heading6"/>
    <w:uiPriority w:val="99"/>
    <w:locked/>
    <w:rsid w:val="00E30A20"/>
    <w:rPr>
      <w:rFonts w:ascii="Times New Roman" w:hAnsi="Times New Roman" w:cs="Times New Roman"/>
      <w:smallCaps/>
      <w:color w:val="auto"/>
      <w:kern w:val="0"/>
      <w:sz w:val="24"/>
      <w:szCs w:val="24"/>
    </w:rPr>
  </w:style>
  <w:style w:type="character" w:customStyle="1" w:styleId="Heading7Char">
    <w:name w:val="Heading 7 Char"/>
    <w:basedOn w:val="DefaultParagraphFont"/>
    <w:link w:val="Heading7"/>
    <w:uiPriority w:val="99"/>
    <w:locked/>
    <w:rsid w:val="00E30A20"/>
    <w:rPr>
      <w:rFonts w:ascii="Times New Roman" w:hAnsi="Times New Roman" w:cs="Times New Roman"/>
      <w:color w:val="auto"/>
      <w:kern w:val="0"/>
      <w:sz w:val="24"/>
      <w:szCs w:val="24"/>
    </w:rPr>
  </w:style>
  <w:style w:type="character" w:customStyle="1" w:styleId="Heading8Char">
    <w:name w:val="Heading 8 Char"/>
    <w:basedOn w:val="DefaultParagraphFont"/>
    <w:link w:val="Heading8"/>
    <w:uiPriority w:val="99"/>
    <w:locked/>
    <w:rsid w:val="00E30A20"/>
    <w:rPr>
      <w:rFonts w:ascii="Times New Roman" w:hAnsi="Times New Roman" w:cs="Times New Roman"/>
      <w:color w:val="auto"/>
      <w:kern w:val="0"/>
      <w:sz w:val="24"/>
      <w:szCs w:val="24"/>
    </w:rPr>
  </w:style>
  <w:style w:type="character" w:customStyle="1" w:styleId="Heading9Char">
    <w:name w:val="Heading 9 Char"/>
    <w:basedOn w:val="DefaultParagraphFont"/>
    <w:link w:val="Heading9"/>
    <w:uiPriority w:val="99"/>
    <w:locked/>
    <w:rsid w:val="00E30A20"/>
    <w:rPr>
      <w:rFonts w:ascii="Times New Roman" w:hAnsi="Times New Roman" w:cs="Times New Roman"/>
      <w:color w:val="auto"/>
      <w:kern w:val="0"/>
      <w:sz w:val="24"/>
      <w:szCs w:val="24"/>
    </w:rPr>
  </w:style>
  <w:style w:type="paragraph" w:styleId="Footer">
    <w:name w:val="footer"/>
    <w:basedOn w:val="Normal"/>
    <w:link w:val="FooterChar"/>
    <w:uiPriority w:val="99"/>
    <w:rsid w:val="00E30A20"/>
    <w:pPr>
      <w:tabs>
        <w:tab w:val="center" w:pos="4320"/>
        <w:tab w:val="right" w:pos="8640"/>
      </w:tabs>
      <w:spacing w:after="0" w:line="240" w:lineRule="auto"/>
    </w:pPr>
    <w:rPr>
      <w:rFonts w:ascii="Times New Roman" w:eastAsia="Times New Roman" w:hAnsi="Times New Roman" w:cs="Times New Roman"/>
      <w:color w:val="auto"/>
      <w:kern w:val="0"/>
      <w:sz w:val="24"/>
      <w:szCs w:val="24"/>
    </w:rPr>
  </w:style>
  <w:style w:type="character" w:customStyle="1" w:styleId="FooterChar">
    <w:name w:val="Footer Char"/>
    <w:basedOn w:val="DefaultParagraphFont"/>
    <w:link w:val="Footer"/>
    <w:uiPriority w:val="99"/>
    <w:locked/>
    <w:rsid w:val="00E30A20"/>
    <w:rPr>
      <w:rFonts w:ascii="Times New Roman" w:hAnsi="Times New Roman" w:cs="Times New Roman"/>
      <w:color w:val="auto"/>
      <w:kern w:val="0"/>
      <w:sz w:val="24"/>
      <w:szCs w:val="24"/>
    </w:rPr>
  </w:style>
  <w:style w:type="character" w:styleId="PageNumber">
    <w:name w:val="page number"/>
    <w:basedOn w:val="DefaultParagraphFont"/>
    <w:uiPriority w:val="99"/>
    <w:rsid w:val="00E30A20"/>
    <w:rPr>
      <w:rFonts w:cs="Times New Roman"/>
    </w:rPr>
  </w:style>
  <w:style w:type="paragraph" w:styleId="Header">
    <w:name w:val="header"/>
    <w:basedOn w:val="Normal"/>
    <w:link w:val="HeaderChar"/>
    <w:uiPriority w:val="99"/>
    <w:rsid w:val="00E30A20"/>
    <w:pPr>
      <w:tabs>
        <w:tab w:val="center" w:pos="4320"/>
        <w:tab w:val="right" w:pos="8640"/>
      </w:tabs>
      <w:spacing w:after="0" w:line="240" w:lineRule="auto"/>
    </w:pPr>
    <w:rPr>
      <w:rFonts w:ascii="Times New Roman" w:eastAsia="Times New Roman" w:hAnsi="Times New Roman" w:cs="Times New Roman"/>
      <w:color w:val="auto"/>
      <w:kern w:val="0"/>
      <w:sz w:val="24"/>
      <w:szCs w:val="24"/>
    </w:rPr>
  </w:style>
  <w:style w:type="character" w:customStyle="1" w:styleId="HeaderChar">
    <w:name w:val="Header Char"/>
    <w:basedOn w:val="DefaultParagraphFont"/>
    <w:link w:val="Header"/>
    <w:uiPriority w:val="99"/>
    <w:locked/>
    <w:rsid w:val="00E30A20"/>
    <w:rPr>
      <w:rFonts w:ascii="Times New Roman" w:hAnsi="Times New Roman" w:cs="Times New Roman"/>
      <w:color w:val="auto"/>
      <w:kern w:val="0"/>
      <w:sz w:val="24"/>
      <w:szCs w:val="24"/>
    </w:rPr>
  </w:style>
  <w:style w:type="paragraph" w:styleId="BodyText">
    <w:name w:val="Body Text"/>
    <w:basedOn w:val="Normal"/>
    <w:link w:val="BodyTextChar"/>
    <w:uiPriority w:val="99"/>
    <w:rsid w:val="00E30A20"/>
    <w:pPr>
      <w:framePr w:w="3801" w:h="5761" w:hSpace="180" w:wrap="around" w:vAnchor="text" w:hAnchor="page" w:x="6961" w:y="1165"/>
      <w:spacing w:after="0" w:line="240" w:lineRule="auto"/>
    </w:pPr>
    <w:rPr>
      <w:rFonts w:ascii="Times New Roman" w:eastAsia="Times New Roman" w:hAnsi="Times New Roman" w:cs="Times New Roman"/>
      <w:color w:val="auto"/>
      <w:kern w:val="0"/>
      <w:sz w:val="20"/>
      <w:szCs w:val="24"/>
    </w:rPr>
  </w:style>
  <w:style w:type="character" w:customStyle="1" w:styleId="BodyTextChar">
    <w:name w:val="Body Text Char"/>
    <w:basedOn w:val="DefaultParagraphFont"/>
    <w:link w:val="BodyText"/>
    <w:uiPriority w:val="99"/>
    <w:locked/>
    <w:rsid w:val="00E30A20"/>
    <w:rPr>
      <w:rFonts w:ascii="Times New Roman" w:hAnsi="Times New Roman" w:cs="Times New Roman"/>
      <w:color w:val="auto"/>
      <w:kern w:val="0"/>
      <w:sz w:val="24"/>
      <w:szCs w:val="24"/>
    </w:rPr>
  </w:style>
  <w:style w:type="paragraph" w:styleId="Caption">
    <w:name w:val="caption"/>
    <w:basedOn w:val="Normal"/>
    <w:next w:val="Normal"/>
    <w:uiPriority w:val="99"/>
    <w:qFormat/>
    <w:rsid w:val="00E30A20"/>
    <w:pPr>
      <w:spacing w:after="0" w:line="240" w:lineRule="auto"/>
    </w:pPr>
    <w:rPr>
      <w:rFonts w:ascii="Times New Roman Bold" w:eastAsia="Times New Roman" w:hAnsi="Times New Roman Bold" w:cs="Times New Roman"/>
      <w:caps/>
      <w:color w:val="auto"/>
      <w:kern w:val="0"/>
      <w:sz w:val="24"/>
      <w:szCs w:val="24"/>
    </w:rPr>
  </w:style>
  <w:style w:type="paragraph" w:styleId="BodyText2">
    <w:name w:val="Body Text 2"/>
    <w:basedOn w:val="Normal"/>
    <w:link w:val="BodyText2Char"/>
    <w:uiPriority w:val="99"/>
    <w:rsid w:val="00E30A20"/>
    <w:pPr>
      <w:spacing w:after="0" w:line="240" w:lineRule="auto"/>
    </w:pPr>
    <w:rPr>
      <w:rFonts w:ascii="Times New Roman" w:eastAsia="Times New Roman" w:hAnsi="Times New Roman" w:cs="Times New Roman"/>
      <w:smallCaps/>
      <w:color w:val="auto"/>
      <w:kern w:val="0"/>
      <w:sz w:val="24"/>
      <w:szCs w:val="24"/>
    </w:rPr>
  </w:style>
  <w:style w:type="character" w:customStyle="1" w:styleId="BodyText2Char">
    <w:name w:val="Body Text 2 Char"/>
    <w:basedOn w:val="DefaultParagraphFont"/>
    <w:link w:val="BodyText2"/>
    <w:uiPriority w:val="99"/>
    <w:locked/>
    <w:rsid w:val="00E30A20"/>
    <w:rPr>
      <w:rFonts w:ascii="Times New Roman" w:hAnsi="Times New Roman" w:cs="Times New Roman"/>
      <w:smallCaps/>
      <w:color w:val="auto"/>
      <w:kern w:val="0"/>
      <w:sz w:val="24"/>
      <w:szCs w:val="24"/>
    </w:rPr>
  </w:style>
  <w:style w:type="paragraph" w:customStyle="1" w:styleId="Outline">
    <w:name w:val="Outline"/>
    <w:basedOn w:val="Normal"/>
    <w:uiPriority w:val="99"/>
    <w:rsid w:val="00E30A20"/>
    <w:pPr>
      <w:spacing w:before="240" w:after="0" w:line="240" w:lineRule="auto"/>
    </w:pPr>
    <w:rPr>
      <w:rFonts w:ascii="Times New Roman" w:eastAsia="Times New Roman" w:hAnsi="Times New Roman" w:cs="Times New Roman"/>
      <w:color w:val="auto"/>
      <w:kern w:val="28"/>
      <w:sz w:val="24"/>
      <w:szCs w:val="20"/>
    </w:rPr>
  </w:style>
  <w:style w:type="paragraph" w:styleId="BodyTextIndent2">
    <w:name w:val="Body Text Indent 2"/>
    <w:basedOn w:val="Normal"/>
    <w:link w:val="BodyTextIndent2Char"/>
    <w:uiPriority w:val="99"/>
    <w:rsid w:val="00E30A20"/>
    <w:pPr>
      <w:spacing w:after="0" w:line="240" w:lineRule="auto"/>
      <w:ind w:left="360"/>
    </w:pPr>
    <w:rPr>
      <w:rFonts w:ascii="Times New Roman" w:eastAsia="Times New Roman" w:hAnsi="Times New Roman" w:cs="Times New Roman"/>
      <w:i/>
      <w:iCs/>
      <w:color w:val="auto"/>
      <w:kern w:val="0"/>
      <w:szCs w:val="24"/>
    </w:rPr>
  </w:style>
  <w:style w:type="character" w:customStyle="1" w:styleId="BodyTextIndent2Char">
    <w:name w:val="Body Text Indent 2 Char"/>
    <w:basedOn w:val="DefaultParagraphFont"/>
    <w:link w:val="BodyTextIndent2"/>
    <w:uiPriority w:val="99"/>
    <w:locked/>
    <w:rsid w:val="00E30A20"/>
    <w:rPr>
      <w:rFonts w:ascii="Times New Roman" w:hAnsi="Times New Roman" w:cs="Times New Roman"/>
      <w:i/>
      <w:iCs/>
      <w:color w:val="auto"/>
      <w:kern w:val="0"/>
      <w:sz w:val="24"/>
      <w:szCs w:val="24"/>
    </w:rPr>
  </w:style>
  <w:style w:type="character" w:styleId="Hyperlink">
    <w:name w:val="Hyperlink"/>
    <w:basedOn w:val="DefaultParagraphFont"/>
    <w:uiPriority w:val="99"/>
    <w:rsid w:val="00E30A20"/>
    <w:rPr>
      <w:rFonts w:cs="Times New Roman"/>
      <w:color w:val="0000FF"/>
      <w:u w:val="single"/>
    </w:rPr>
  </w:style>
  <w:style w:type="paragraph" w:styleId="BodyTextIndent">
    <w:name w:val="Body Text Indent"/>
    <w:basedOn w:val="Normal"/>
    <w:link w:val="BodyTextIndentChar"/>
    <w:uiPriority w:val="99"/>
    <w:rsid w:val="00E30A20"/>
    <w:pPr>
      <w:spacing w:after="80" w:line="240" w:lineRule="auto"/>
      <w:ind w:left="1080"/>
      <w:jc w:val="both"/>
    </w:pPr>
    <w:rPr>
      <w:rFonts w:ascii="Times New Roman" w:eastAsia="Times New Roman" w:hAnsi="Times New Roman" w:cs="Times New Roman"/>
      <w:color w:val="auto"/>
      <w:kern w:val="0"/>
      <w:sz w:val="24"/>
      <w:szCs w:val="24"/>
    </w:rPr>
  </w:style>
  <w:style w:type="character" w:customStyle="1" w:styleId="BodyTextIndentChar">
    <w:name w:val="Body Text Indent Char"/>
    <w:basedOn w:val="DefaultParagraphFont"/>
    <w:link w:val="BodyTextIndent"/>
    <w:uiPriority w:val="99"/>
    <w:locked/>
    <w:rsid w:val="00E30A20"/>
    <w:rPr>
      <w:rFonts w:ascii="Times New Roman" w:hAnsi="Times New Roman" w:cs="Times New Roman"/>
      <w:color w:val="auto"/>
      <w:kern w:val="0"/>
      <w:sz w:val="24"/>
      <w:szCs w:val="24"/>
    </w:rPr>
  </w:style>
  <w:style w:type="paragraph" w:styleId="BodyTextIndent3">
    <w:name w:val="Body Text Indent 3"/>
    <w:basedOn w:val="Normal"/>
    <w:link w:val="BodyTextIndent3Char"/>
    <w:uiPriority w:val="99"/>
    <w:rsid w:val="00E30A20"/>
    <w:pPr>
      <w:spacing w:after="0" w:line="240" w:lineRule="auto"/>
      <w:ind w:left="540"/>
    </w:pPr>
    <w:rPr>
      <w:rFonts w:ascii="Times New Roman" w:eastAsia="Times New Roman" w:hAnsi="Times New Roman" w:cs="Times New Roman"/>
      <w:color w:val="auto"/>
      <w:kern w:val="0"/>
      <w:sz w:val="24"/>
      <w:szCs w:val="24"/>
    </w:rPr>
  </w:style>
  <w:style w:type="character" w:customStyle="1" w:styleId="BodyTextIndent3Char">
    <w:name w:val="Body Text Indent 3 Char"/>
    <w:basedOn w:val="DefaultParagraphFont"/>
    <w:link w:val="BodyTextIndent3"/>
    <w:uiPriority w:val="99"/>
    <w:locked/>
    <w:rsid w:val="00E30A20"/>
    <w:rPr>
      <w:rFonts w:ascii="Times New Roman" w:hAnsi="Times New Roman" w:cs="Times New Roman"/>
      <w:color w:val="auto"/>
      <w:kern w:val="0"/>
      <w:sz w:val="24"/>
      <w:szCs w:val="24"/>
    </w:rPr>
  </w:style>
  <w:style w:type="paragraph" w:styleId="BalloonText">
    <w:name w:val="Balloon Text"/>
    <w:basedOn w:val="Normal"/>
    <w:link w:val="BalloonTextChar"/>
    <w:uiPriority w:val="99"/>
    <w:semiHidden/>
    <w:rsid w:val="00E30A20"/>
    <w:pPr>
      <w:spacing w:after="0" w:line="240" w:lineRule="auto"/>
    </w:pPr>
    <w:rPr>
      <w:rFonts w:ascii="Tahoma" w:eastAsia="Times New Roman" w:hAnsi="Tahoma" w:cs="Times New Roman"/>
      <w:color w:val="auto"/>
      <w:kern w:val="0"/>
      <w:sz w:val="16"/>
      <w:szCs w:val="16"/>
    </w:rPr>
  </w:style>
  <w:style w:type="character" w:customStyle="1" w:styleId="BalloonTextChar">
    <w:name w:val="Balloon Text Char"/>
    <w:basedOn w:val="DefaultParagraphFont"/>
    <w:link w:val="BalloonText"/>
    <w:uiPriority w:val="99"/>
    <w:semiHidden/>
    <w:locked/>
    <w:rsid w:val="00E30A20"/>
    <w:rPr>
      <w:rFonts w:ascii="Tahoma" w:hAnsi="Tahoma" w:cs="Times New Roman"/>
      <w:color w:val="auto"/>
      <w:kern w:val="0"/>
      <w:sz w:val="16"/>
      <w:szCs w:val="16"/>
    </w:rPr>
  </w:style>
  <w:style w:type="table" w:styleId="TableGrid">
    <w:name w:val="Table Grid"/>
    <w:basedOn w:val="TableNormal"/>
    <w:uiPriority w:val="99"/>
    <w:rsid w:val="00E30A20"/>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otnote Text,ft,DNV-FT,fn,ADB,Fußnote,WB-Fußnotentext,WB-Fußnotentext Char Char,Fußnotentext Char,FOOTNOTES,footnote text Char Char,Footnote Text Char1 Char,ADB Char C"/>
    <w:basedOn w:val="Normal"/>
    <w:link w:val="FootnoteTextChar1"/>
    <w:uiPriority w:val="99"/>
    <w:rsid w:val="00E30A20"/>
    <w:pPr>
      <w:spacing w:after="0" w:line="240" w:lineRule="auto"/>
    </w:pPr>
    <w:rPr>
      <w:rFonts w:ascii="Times New Roman" w:eastAsia="Times New Roman" w:hAnsi="Times New Roman" w:cs="Times New Roman"/>
      <w:color w:val="auto"/>
      <w:kern w:val="0"/>
      <w:sz w:val="20"/>
      <w:szCs w:val="20"/>
    </w:rPr>
  </w:style>
  <w:style w:type="character" w:customStyle="1" w:styleId="FootnoteTextChar">
    <w:name w:val="Footnote Text Char"/>
    <w:aliases w:val="Geneva 9 Char,Font: Geneva 9 Char,Boston 10 Char,f Char,single space Char,Footnote Char,otnote Text Char,ft Char,DNV-FT Char,fn Char,ADB Char,Fußnote Char,WB-Fußnotentext Char,WB-Fußnotentext Char Char Char,Fußnotentext Char Char"/>
    <w:basedOn w:val="DefaultParagraphFont"/>
    <w:uiPriority w:val="99"/>
    <w:locked/>
    <w:rsid w:val="00BF6111"/>
    <w:rPr>
      <w:rFonts w:cs="Times New Roman"/>
      <w:color w:val="FFFFFF"/>
      <w:kern w:val="32"/>
      <w:sz w:val="20"/>
      <w:szCs w:val="20"/>
      <w:lang w:val="en-US" w:eastAsia="en-US"/>
    </w:rPr>
  </w:style>
  <w:style w:type="character" w:customStyle="1" w:styleId="FootnoteTextChar1">
    <w:name w:val="Footnote Text Char1"/>
    <w:aliases w:val="Geneva 9 Char1,Font: Geneva 9 Char1,Boston 10 Char1,f Char1,single space Char1,Footnote Char1,otnote Text Char1,ft Char1,DNV-FT Char1,fn Char1,ADB Char1,Fußnote Char1,WB-Fußnotentext Char1,WB-Fußnotentext Char Char Char1"/>
    <w:basedOn w:val="DefaultParagraphFont"/>
    <w:link w:val="FootnoteText"/>
    <w:uiPriority w:val="99"/>
    <w:locked/>
    <w:rsid w:val="00E30A20"/>
    <w:rPr>
      <w:rFonts w:ascii="Times New Roman" w:hAnsi="Times New Roman" w:cs="Times New Roman"/>
      <w:color w:val="auto"/>
      <w:kern w:val="0"/>
      <w:sz w:val="20"/>
      <w:szCs w:val="20"/>
    </w:rPr>
  </w:style>
  <w:style w:type="character" w:styleId="FootnoteReference">
    <w:name w:val="footnote reference"/>
    <w:aliases w:val="16 Point,Superscript 6 Point,Superscript 6 Point + 11 pt,ftref,fr,BVI fnr,BVI fnr Car Car,BVI fnr Car,BVI fnr Car Car Car Car,Footnote text"/>
    <w:basedOn w:val="DefaultParagraphFont"/>
    <w:uiPriority w:val="99"/>
    <w:rsid w:val="00E30A20"/>
    <w:rPr>
      <w:rFonts w:cs="Times New Roman"/>
      <w:vertAlign w:val="superscript"/>
    </w:rPr>
  </w:style>
  <w:style w:type="character" w:styleId="FollowedHyperlink">
    <w:name w:val="FollowedHyperlink"/>
    <w:basedOn w:val="DefaultParagraphFont"/>
    <w:uiPriority w:val="99"/>
    <w:rsid w:val="00E30A20"/>
    <w:rPr>
      <w:rFonts w:cs="Times New Roman"/>
      <w:color w:val="606420"/>
      <w:u w:val="single"/>
    </w:rPr>
  </w:style>
  <w:style w:type="paragraph" w:styleId="DocumentMap">
    <w:name w:val="Document Map"/>
    <w:basedOn w:val="Normal"/>
    <w:link w:val="DocumentMapChar"/>
    <w:uiPriority w:val="99"/>
    <w:semiHidden/>
    <w:rsid w:val="00E30A20"/>
    <w:pPr>
      <w:shd w:val="clear" w:color="auto" w:fill="000080"/>
      <w:spacing w:after="0" w:line="240" w:lineRule="auto"/>
    </w:pPr>
    <w:rPr>
      <w:rFonts w:ascii="Tahoma" w:eastAsia="Times New Roman" w:hAnsi="Tahoma" w:cs="Tahoma"/>
      <w:color w:val="auto"/>
      <w:kern w:val="0"/>
      <w:sz w:val="20"/>
      <w:szCs w:val="20"/>
    </w:rPr>
  </w:style>
  <w:style w:type="character" w:customStyle="1" w:styleId="DocumentMapChar">
    <w:name w:val="Document Map Char"/>
    <w:basedOn w:val="DefaultParagraphFont"/>
    <w:link w:val="DocumentMap"/>
    <w:uiPriority w:val="99"/>
    <w:semiHidden/>
    <w:locked/>
    <w:rsid w:val="00E30A20"/>
    <w:rPr>
      <w:rFonts w:ascii="Tahoma" w:hAnsi="Tahoma" w:cs="Tahoma"/>
      <w:color w:val="auto"/>
      <w:kern w:val="0"/>
      <w:sz w:val="20"/>
      <w:szCs w:val="20"/>
      <w:shd w:val="clear" w:color="auto" w:fill="000080"/>
    </w:rPr>
  </w:style>
  <w:style w:type="paragraph" w:customStyle="1" w:styleId="MainParanoChapter">
    <w:name w:val="Main Para no Chapter #"/>
    <w:basedOn w:val="Normal"/>
    <w:link w:val="MainParanoChapterChar"/>
    <w:autoRedefine/>
    <w:uiPriority w:val="99"/>
    <w:rsid w:val="00E30A20"/>
    <w:pPr>
      <w:numPr>
        <w:numId w:val="5"/>
      </w:numPr>
      <w:spacing w:before="120" w:after="240" w:line="240" w:lineRule="auto"/>
      <w:outlineLvl w:val="1"/>
    </w:pPr>
    <w:rPr>
      <w:rFonts w:ascii="Times New Roman" w:hAnsi="Times New Roman" w:cs="Times New Roman"/>
      <w:color w:val="000000"/>
      <w:kern w:val="0"/>
      <w:sz w:val="24"/>
      <w:szCs w:val="20"/>
      <w:lang w:val="ru-RU" w:eastAsia="ru-RU"/>
    </w:rPr>
  </w:style>
  <w:style w:type="paragraph" w:styleId="TOC1">
    <w:name w:val="toc 1"/>
    <w:basedOn w:val="Normal"/>
    <w:next w:val="Normal"/>
    <w:autoRedefine/>
    <w:uiPriority w:val="99"/>
    <w:rsid w:val="00E30A20"/>
    <w:pPr>
      <w:tabs>
        <w:tab w:val="right" w:leader="dot" w:pos="9638"/>
      </w:tabs>
      <w:spacing w:after="0" w:line="240" w:lineRule="auto"/>
      <w:ind w:left="3600"/>
      <w:jc w:val="right"/>
    </w:pPr>
    <w:rPr>
      <w:rFonts w:ascii="Times New Roman" w:eastAsia="Times New Roman" w:hAnsi="Times New Roman" w:cs="Times New Roman"/>
      <w:caps/>
      <w:noProof/>
      <w:color w:val="auto"/>
      <w:kern w:val="0"/>
    </w:rPr>
  </w:style>
  <w:style w:type="paragraph" w:styleId="ListParagraph">
    <w:name w:val="List Paragraph"/>
    <w:basedOn w:val="Normal"/>
    <w:autoRedefine/>
    <w:uiPriority w:val="99"/>
    <w:qFormat/>
    <w:rsid w:val="006A5867"/>
    <w:pPr>
      <w:numPr>
        <w:numId w:val="36"/>
      </w:numPr>
      <w:spacing w:after="80" w:line="240" w:lineRule="auto"/>
      <w:ind w:left="360"/>
      <w:contextualSpacing/>
      <w:outlineLvl w:val="0"/>
    </w:pPr>
    <w:rPr>
      <w:rFonts w:ascii="Times New Roman" w:eastAsia="Times New Roman" w:hAnsi="Times New Roman" w:cs="Times New Roman"/>
      <w:color w:val="auto"/>
      <w:kern w:val="0"/>
      <w:sz w:val="20"/>
      <w:szCs w:val="20"/>
      <w:lang w:val="en-GB"/>
    </w:rPr>
  </w:style>
  <w:style w:type="character" w:customStyle="1" w:styleId="MainParanoChapterChar">
    <w:name w:val="Main Para no Chapter # Char"/>
    <w:link w:val="MainParanoChapter"/>
    <w:uiPriority w:val="99"/>
    <w:locked/>
    <w:rsid w:val="00E30A20"/>
    <w:rPr>
      <w:rFonts w:ascii="Times New Roman" w:hAnsi="Times New Roman"/>
      <w:color w:val="000000"/>
      <w:kern w:val="0"/>
      <w:sz w:val="24"/>
    </w:rPr>
  </w:style>
  <w:style w:type="paragraph" w:styleId="NoSpacing">
    <w:name w:val="No Spacing"/>
    <w:uiPriority w:val="99"/>
    <w:qFormat/>
    <w:rsid w:val="00E30A20"/>
    <w:rPr>
      <w:rFonts w:ascii="Calibri" w:eastAsia="Times New Roman" w:hAnsi="Calibri" w:cs="Times New Roman"/>
      <w:lang w:val="en-US" w:eastAsia="en-US"/>
    </w:rPr>
  </w:style>
  <w:style w:type="character" w:styleId="CommentReference">
    <w:name w:val="annotation reference"/>
    <w:basedOn w:val="DefaultParagraphFont"/>
    <w:uiPriority w:val="99"/>
    <w:rsid w:val="00E30A20"/>
    <w:rPr>
      <w:rFonts w:cs="Times New Roman"/>
      <w:sz w:val="16"/>
    </w:rPr>
  </w:style>
  <w:style w:type="paragraph" w:styleId="CommentText">
    <w:name w:val="annotation text"/>
    <w:basedOn w:val="Normal"/>
    <w:link w:val="CommentTextChar"/>
    <w:uiPriority w:val="99"/>
    <w:rsid w:val="00E30A20"/>
    <w:pPr>
      <w:spacing w:after="0" w:line="240" w:lineRule="auto"/>
    </w:pPr>
    <w:rPr>
      <w:rFonts w:ascii="Times New Roman" w:eastAsia="Times New Roman" w:hAnsi="Times New Roman" w:cs="Times New Roman"/>
      <w:color w:val="auto"/>
      <w:kern w:val="0"/>
      <w:sz w:val="20"/>
      <w:szCs w:val="20"/>
    </w:rPr>
  </w:style>
  <w:style w:type="character" w:customStyle="1" w:styleId="CommentTextChar">
    <w:name w:val="Comment Text Char"/>
    <w:basedOn w:val="DefaultParagraphFont"/>
    <w:link w:val="CommentText"/>
    <w:uiPriority w:val="99"/>
    <w:locked/>
    <w:rsid w:val="00E30A20"/>
    <w:rPr>
      <w:rFonts w:ascii="Times New Roman" w:hAnsi="Times New Roman" w:cs="Times New Roman"/>
      <w:color w:val="auto"/>
      <w:kern w:val="0"/>
      <w:sz w:val="20"/>
      <w:szCs w:val="20"/>
    </w:rPr>
  </w:style>
  <w:style w:type="paragraph" w:styleId="CommentSubject">
    <w:name w:val="annotation subject"/>
    <w:basedOn w:val="CommentText"/>
    <w:next w:val="CommentText"/>
    <w:link w:val="CommentSubjectChar"/>
    <w:uiPriority w:val="99"/>
    <w:rsid w:val="00E30A20"/>
    <w:rPr>
      <w:b/>
      <w:bCs/>
    </w:rPr>
  </w:style>
  <w:style w:type="character" w:customStyle="1" w:styleId="CommentSubjectChar">
    <w:name w:val="Comment Subject Char"/>
    <w:basedOn w:val="CommentTextChar"/>
    <w:link w:val="CommentSubject"/>
    <w:uiPriority w:val="99"/>
    <w:locked/>
    <w:rsid w:val="00E30A20"/>
    <w:rPr>
      <w:rFonts w:ascii="Times New Roman" w:hAnsi="Times New Roman" w:cs="Times New Roman"/>
      <w:color w:val="auto"/>
      <w:kern w:val="0"/>
      <w:sz w:val="20"/>
      <w:szCs w:val="20"/>
    </w:rPr>
  </w:style>
  <w:style w:type="paragraph" w:customStyle="1" w:styleId="NumberedParasinaPIF">
    <w:name w:val="Numbered Paras in a PIF"/>
    <w:basedOn w:val="Normal"/>
    <w:link w:val="NumberedParasinaPIFChar"/>
    <w:uiPriority w:val="99"/>
    <w:rsid w:val="006B4B8A"/>
    <w:pPr>
      <w:spacing w:after="0" w:line="240" w:lineRule="auto"/>
      <w:jc w:val="both"/>
    </w:pPr>
    <w:rPr>
      <w:rFonts w:ascii="Times New Roman" w:hAnsi="Times New Roman" w:cs="Times New Roman"/>
      <w:noProof/>
      <w:color w:val="auto"/>
      <w:kern w:val="0"/>
      <w:sz w:val="20"/>
    </w:rPr>
  </w:style>
  <w:style w:type="character" w:customStyle="1" w:styleId="NumberedParasinaPIFChar">
    <w:name w:val="Numbered Paras in a PIF Char"/>
    <w:basedOn w:val="DefaultParagraphFont"/>
    <w:link w:val="NumberedParasinaPIF"/>
    <w:uiPriority w:val="99"/>
    <w:locked/>
    <w:rsid w:val="006B4B8A"/>
    <w:rPr>
      <w:rFonts w:ascii="Times New Roman" w:hAnsi="Times New Roman" w:cs="Times New Roman"/>
      <w:noProof/>
      <w:color w:val="auto"/>
      <w:kern w:val="0"/>
      <w:sz w:val="20"/>
    </w:rPr>
  </w:style>
  <w:style w:type="paragraph" w:customStyle="1" w:styleId="A">
    <w:name w:val="A"/>
    <w:basedOn w:val="Normal"/>
    <w:uiPriority w:val="99"/>
    <w:rsid w:val="00352FA2"/>
    <w:pPr>
      <w:numPr>
        <w:numId w:val="31"/>
      </w:numPr>
      <w:spacing w:after="100" w:line="240" w:lineRule="auto"/>
      <w:jc w:val="both"/>
    </w:pPr>
    <w:rPr>
      <w:rFonts w:ascii="Times New Roman" w:eastAsia="Times New Roman" w:hAnsi="Times New Roman" w:cs="Times New Roman"/>
      <w:b/>
      <w:bCs/>
      <w:color w:val="auto"/>
      <w:kern w:val="0"/>
    </w:rPr>
  </w:style>
  <w:style w:type="paragraph" w:customStyle="1" w:styleId="Body">
    <w:name w:val="Body"/>
    <w:basedOn w:val="Normal"/>
    <w:uiPriority w:val="99"/>
    <w:rsid w:val="000534EB"/>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color w:val="000000"/>
      <w:kern w:val="0"/>
      <w:szCs w:val="20"/>
    </w:rPr>
  </w:style>
  <w:style w:type="paragraph" w:customStyle="1" w:styleId="Para">
    <w:name w:val="Para"/>
    <w:basedOn w:val="Normal"/>
    <w:link w:val="ParaChar"/>
    <w:autoRedefine/>
    <w:uiPriority w:val="99"/>
    <w:rsid w:val="00EA238F"/>
    <w:pPr>
      <w:spacing w:after="120" w:line="240" w:lineRule="auto"/>
    </w:pPr>
    <w:rPr>
      <w:rFonts w:ascii="Times New Roman" w:hAnsi="Times New Roman" w:cs="Times New Roman"/>
      <w:color w:val="auto"/>
      <w:kern w:val="0"/>
      <w:sz w:val="21"/>
      <w:szCs w:val="20"/>
      <w:lang w:val="ru-RU" w:eastAsia="ru-RU"/>
    </w:rPr>
  </w:style>
  <w:style w:type="character" w:customStyle="1" w:styleId="ParaChar">
    <w:name w:val="Para Char"/>
    <w:link w:val="Para"/>
    <w:uiPriority w:val="99"/>
    <w:locked/>
    <w:rsid w:val="00EA238F"/>
    <w:rPr>
      <w:rFonts w:ascii="Times New Roman" w:hAnsi="Times New Roman"/>
      <w:color w:val="auto"/>
      <w:kern w:val="0"/>
      <w:sz w:val="21"/>
    </w:rPr>
  </w:style>
  <w:style w:type="paragraph" w:customStyle="1" w:styleId="aaa">
    <w:name w:val="aaa"/>
    <w:basedOn w:val="Normal"/>
    <w:uiPriority w:val="99"/>
    <w:rsid w:val="00073EAD"/>
    <w:pPr>
      <w:spacing w:before="80" w:after="0" w:line="240" w:lineRule="auto"/>
    </w:pPr>
    <w:rPr>
      <w:rFonts w:ascii="Times New Roman" w:eastAsia="Times New Roman" w:hAnsi="Times New Roman" w:cs="Times New Roman"/>
      <w:i/>
      <w:color w:val="auto"/>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627431">
      <w:bodyDiv w:val="1"/>
      <w:marLeft w:val="0"/>
      <w:marRight w:val="0"/>
      <w:marTop w:val="0"/>
      <w:marBottom w:val="0"/>
      <w:divBdr>
        <w:top w:val="none" w:sz="0" w:space="0" w:color="auto"/>
        <w:left w:val="none" w:sz="0" w:space="0" w:color="auto"/>
        <w:bottom w:val="none" w:sz="0" w:space="0" w:color="auto"/>
        <w:right w:val="none" w:sz="0" w:space="0" w:color="auto"/>
      </w:divBdr>
    </w:div>
    <w:div w:id="1632593736">
      <w:bodyDiv w:val="1"/>
      <w:marLeft w:val="0"/>
      <w:marRight w:val="0"/>
      <w:marTop w:val="0"/>
      <w:marBottom w:val="0"/>
      <w:divBdr>
        <w:top w:val="none" w:sz="0" w:space="0" w:color="auto"/>
        <w:left w:val="none" w:sz="0" w:space="0" w:color="auto"/>
        <w:bottom w:val="none" w:sz="0" w:space="0" w:color="auto"/>
        <w:right w:val="none" w:sz="0" w:space="0" w:color="auto"/>
      </w:divBdr>
    </w:div>
    <w:div w:id="1952976503">
      <w:marLeft w:val="0"/>
      <w:marRight w:val="0"/>
      <w:marTop w:val="0"/>
      <w:marBottom w:val="0"/>
      <w:divBdr>
        <w:top w:val="none" w:sz="0" w:space="0" w:color="auto"/>
        <w:left w:val="none" w:sz="0" w:space="0" w:color="auto"/>
        <w:bottom w:val="none" w:sz="0" w:space="0" w:color="auto"/>
        <w:right w:val="none" w:sz="0" w:space="0" w:color="auto"/>
      </w:divBdr>
    </w:div>
    <w:div w:id="195297650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OFP%20Endorsement%20Letter%20Template%2011-1-11_0.doc"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hyperlink" Target="http://www.thegef.org/gef/home"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sites/thegef.org/files/documents/OFP%20Endorsement%20Letter%20Template%20for%20SGP%2009-08-2010.doc" TargetMode="External"/><Relationship Id="rId22"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F45061-D4A9-4F7A-96AB-75ECD59D1454}">
  <ds:schemaRefs>
    <ds:schemaRef ds:uri="http://schemas.openxmlformats.org/officeDocument/2006/bibliography"/>
  </ds:schemaRefs>
</ds:datastoreItem>
</file>

<file path=customXml/itemProps2.xml><?xml version="1.0" encoding="utf-8"?>
<ds:datastoreItem xmlns:ds="http://schemas.openxmlformats.org/officeDocument/2006/customXml" ds:itemID="{B5F517A4-4A9C-456E-9813-693325A02C68}"/>
</file>

<file path=customXml/itemProps3.xml><?xml version="1.0" encoding="utf-8"?>
<ds:datastoreItem xmlns:ds="http://schemas.openxmlformats.org/officeDocument/2006/customXml" ds:itemID="{7A877A6C-7A70-4794-9C75-48FB6643E129}"/>
</file>

<file path=customXml/itemProps4.xml><?xml version="1.0" encoding="utf-8"?>
<ds:datastoreItem xmlns:ds="http://schemas.openxmlformats.org/officeDocument/2006/customXml" ds:itemID="{EE4B197E-9ADD-466B-9EBB-B31A2D9567C2}"/>
</file>

<file path=docProps/app.xml><?xml version="1.0" encoding="utf-8"?>
<Properties xmlns="http://schemas.openxmlformats.org/officeDocument/2006/extended-properties" xmlns:vt="http://schemas.openxmlformats.org/officeDocument/2006/docPropsVTypes">
  <Template>Normal.dotm</Template>
  <TotalTime>1</TotalTime>
  <Pages>14</Pages>
  <Words>11645</Words>
  <Characters>66377</Characters>
  <Application>Microsoft Office Word</Application>
  <DocSecurity>0</DocSecurity>
  <Lines>553</Lines>
  <Paragraphs>155</Paragraphs>
  <ScaleCrop>false</ScaleCrop>
  <HeadingPairs>
    <vt:vector size="2" baseType="variant">
      <vt:variant>
        <vt:lpstr>Title</vt:lpstr>
      </vt:variant>
      <vt:variant>
        <vt:i4>1</vt:i4>
      </vt:variant>
    </vt:vector>
  </HeadingPairs>
  <TitlesOfParts>
    <vt:vector size="1" baseType="lpstr">
      <vt:lpstr>PROJECT IDENTIFICATION FORM (PIF)</vt:lpstr>
    </vt:vector>
  </TitlesOfParts>
  <Company>Microsoft</Company>
  <LinksUpToDate>false</LinksUpToDate>
  <CharactersWithSpaces>77867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IDENTIFICATION FORM (PIF)</dc:title>
  <dc:creator>johan.robinson</dc:creator>
  <cp:lastModifiedBy>Ramon Prudencio C. De Mesa</cp:lastModifiedBy>
  <cp:revision>2</cp:revision>
  <cp:lastPrinted>2013-09-30T19:52:00Z</cp:lastPrinted>
  <dcterms:created xsi:type="dcterms:W3CDTF">2013-09-30T19:56:00Z</dcterms:created>
  <dcterms:modified xsi:type="dcterms:W3CDTF">2013-09-30T19:56:00Z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